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A1C" w:rsidRDefault="00A87A1C" w:rsidP="00A87A1C">
      <w:pPr>
        <w:jc w:val="center"/>
        <w:rPr>
          <w:b/>
          <w:sz w:val="24"/>
          <w:u w:val="single"/>
        </w:rPr>
      </w:pPr>
      <w:bookmarkStart w:id="0" w:name="_GoBack"/>
      <w:bookmarkEnd w:id="0"/>
      <w:r>
        <w:rPr>
          <w:b/>
          <w:sz w:val="24"/>
          <w:u w:val="single"/>
        </w:rPr>
        <w:t>ПАСПОРТ УСЛУГИ (ПРОЦЕССА) ТЕХНОЛОГИЧЕСКОГО ПРИСОЕДИНЕНИЯ К ЭЛЕКТРИЧЕСКИМ СЕТЯМ СЕТЕВОЙ ОРГАНИЗАЦИИ ЭНЕРГОПРИНИМАЮЩИХ УСТРОЙСТВ ЮРИДИЧЕСКИХ ЛИЦ И ИНДИВИДУАЛЬНЫХ ПРЕДПРИНИМАТЕЛЕЙ</w:t>
      </w:r>
      <w:r>
        <w:rPr>
          <w:b/>
          <w:sz w:val="24"/>
          <w:u w:val="single"/>
        </w:rPr>
        <w:br/>
        <w:t xml:space="preserve"> С МАКСИМАЛЬНОЙ МОЩНОСТЬЮ СВЫШЕ 670 КВТ</w:t>
      </w:r>
    </w:p>
    <w:p w:rsidR="00A87A1C" w:rsidRPr="004572A1" w:rsidRDefault="004572A1" w:rsidP="00A87A1C">
      <w:pPr>
        <w:jc w:val="center"/>
        <w:rPr>
          <w:sz w:val="24"/>
        </w:rPr>
      </w:pPr>
      <w:r w:rsidRPr="004572A1">
        <w:rPr>
          <w:sz w:val="24"/>
        </w:rPr>
        <w:t>АО «Энергосервис Волги»</w:t>
      </w:r>
    </w:p>
    <w:p w:rsidR="00A87A1C" w:rsidRDefault="00A87A1C" w:rsidP="00A87A1C">
      <w:pPr>
        <w:jc w:val="center"/>
        <w:rPr>
          <w:sz w:val="24"/>
        </w:rPr>
      </w:pPr>
    </w:p>
    <w:p w:rsidR="00A87A1C" w:rsidRDefault="00A87A1C" w:rsidP="00A87A1C">
      <w:pPr>
        <w:jc w:val="center"/>
        <w:rPr>
          <w:b/>
          <w:color w:val="548DD4"/>
          <w:sz w:val="24"/>
        </w:rPr>
      </w:pPr>
      <w:r>
        <w:rPr>
          <w:b/>
          <w:color w:val="548DD4"/>
          <w:sz w:val="24"/>
        </w:rPr>
        <w:t>КОД 2.1.4 ТЕХНОЛОГИЧЕСКОЕ ПРИСОЕДИНЕНИЕ К ЭЛЕКТРИЧЕСКИМ СЕТЯМ СЕТЕВОЙ ОРГАНИЗАЦИИ</w:t>
      </w:r>
    </w:p>
    <w:p w:rsidR="00A87A1C" w:rsidRDefault="00A87A1C" w:rsidP="00A87A1C">
      <w:pPr>
        <w:jc w:val="center"/>
        <w:rPr>
          <w:b/>
          <w:color w:val="548DD4"/>
          <w:sz w:val="24"/>
        </w:rPr>
      </w:pPr>
      <w:r>
        <w:rPr>
          <w:b/>
          <w:color w:val="548DD4"/>
          <w:sz w:val="24"/>
        </w:rPr>
        <w:t>ЭНЕРГОПРИНИМАЮЩИХ УСТРОЙСТВ ЮРИДИЧЕСКИХ ЛИЦ И ИНДИВИДУАЛЬНЫХ ПРЕДПРИНИМАТЕЛЕЙ</w:t>
      </w:r>
      <w:r>
        <w:rPr>
          <w:b/>
          <w:color w:val="548DD4"/>
          <w:sz w:val="24"/>
        </w:rPr>
        <w:br/>
        <w:t xml:space="preserve"> С МАКСИМАЛЬНОЙ МОЩНОСТЬЮ СВЫШЕ 670 КВТ</w:t>
      </w:r>
    </w:p>
    <w:p w:rsidR="00A87A1C" w:rsidRDefault="00A87A1C" w:rsidP="00A87A1C">
      <w:pPr>
        <w:jc w:val="center"/>
        <w:rPr>
          <w:color w:val="548DD4"/>
          <w:sz w:val="24"/>
        </w:rPr>
      </w:pPr>
    </w:p>
    <w:p w:rsidR="00A87A1C" w:rsidRDefault="00A87A1C" w:rsidP="00A87A1C">
      <w:pPr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 xml:space="preserve">КРУГ ЗАЯВИТЕЛЕЙ: </w:t>
      </w:r>
      <w:r>
        <w:rPr>
          <w:sz w:val="24"/>
          <w:szCs w:val="24"/>
        </w:rPr>
        <w:t xml:space="preserve">юридическое, физическое лицо или индивидуальный предприниматель (далее - заявитель) в целях технологического </w:t>
      </w:r>
      <w:proofErr w:type="gramStart"/>
      <w:r>
        <w:rPr>
          <w:sz w:val="24"/>
          <w:szCs w:val="24"/>
        </w:rPr>
        <w:t xml:space="preserve">присоединения 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proofErr w:type="gramEnd"/>
      <w:r>
        <w:rPr>
          <w:sz w:val="24"/>
          <w:szCs w:val="24"/>
        </w:rPr>
        <w:t xml:space="preserve"> устройств, максимальная мощность которых составляет свыше 670 кВт </w:t>
      </w:r>
    </w:p>
    <w:p w:rsidR="00A87A1C" w:rsidRDefault="00A87A1C" w:rsidP="00A87A1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РАЗМЕР ПЛАТЫ ЗА ПРЕДОСТАВЛЕНИЕ УСЛУГИ (ПРОЦЕССА) И ОСНОВАНИЕ ЕЕ ВЗИМАНИЯ: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Плата для Заявителя, подавшего заявку в целях технологического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устройств, максимальная мощность которых составляет свыше 670 кВт</w:t>
      </w:r>
      <w:r>
        <w:rPr>
          <w:strike/>
          <w:sz w:val="24"/>
          <w:szCs w:val="24"/>
        </w:rPr>
        <w:t>,</w:t>
      </w:r>
      <w:r>
        <w:rPr>
          <w:sz w:val="24"/>
          <w:szCs w:val="24"/>
        </w:rPr>
        <w:t xml:space="preserve"> рассчитывается по стандартизированным тарифным ставкам, установленным уполномоченным органом исполнительной власти в области государственного регулирования тарифов на текущий период регулирования.</w:t>
      </w:r>
    </w:p>
    <w:p w:rsidR="00A87A1C" w:rsidRDefault="00A87A1C" w:rsidP="00A87A1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УСЛОВИЯ ОКАЗАНИЯ УСЛУГИ (ПРОЦЕССА):</w:t>
      </w:r>
      <w:r>
        <w:rPr>
          <w:sz w:val="24"/>
          <w:szCs w:val="24"/>
        </w:rPr>
        <w:t xml:space="preserve"> намерение заявителя присоединить впервые вводимые в эксплуатацию, ранее присоединенные </w:t>
      </w:r>
      <w:proofErr w:type="spellStart"/>
      <w:r>
        <w:rPr>
          <w:sz w:val="24"/>
          <w:szCs w:val="24"/>
        </w:rPr>
        <w:t>энергопринимающие</w:t>
      </w:r>
      <w:proofErr w:type="spellEnd"/>
      <w:r>
        <w:rPr>
          <w:sz w:val="24"/>
          <w:szCs w:val="24"/>
        </w:rPr>
        <w:t xml:space="preserve"> устройства и объекты электроэнергетики, максимальная мощность которых увеличивается, а также на случаи, при которых в отношении ранее присоединенных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устройств.</w:t>
      </w:r>
    </w:p>
    <w:p w:rsidR="00A87A1C" w:rsidRDefault="00A87A1C" w:rsidP="00A87A1C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color w:val="548DD4"/>
          <w:sz w:val="24"/>
          <w:szCs w:val="24"/>
        </w:rPr>
        <w:t>РЕЗУЛЬТАТ ОКАЗАНИЯ УСЛУГИ (ПРОЦЕССА):</w:t>
      </w:r>
      <w:r>
        <w:rPr>
          <w:sz w:val="24"/>
          <w:szCs w:val="24"/>
        </w:rPr>
        <w:t xml:space="preserve"> технологическое присоединения </w:t>
      </w:r>
      <w:proofErr w:type="spellStart"/>
      <w:r>
        <w:rPr>
          <w:sz w:val="24"/>
          <w:szCs w:val="24"/>
        </w:rPr>
        <w:t>энергопринимающих</w:t>
      </w:r>
      <w:proofErr w:type="spellEnd"/>
      <w:r>
        <w:rPr>
          <w:sz w:val="24"/>
          <w:szCs w:val="24"/>
        </w:rPr>
        <w:t xml:space="preserve"> устройств Заявителя.</w:t>
      </w:r>
    </w:p>
    <w:p w:rsidR="00A87A1C" w:rsidRDefault="00A87A1C" w:rsidP="00A87A1C">
      <w:pPr>
        <w:jc w:val="both"/>
        <w:rPr>
          <w:sz w:val="24"/>
        </w:rPr>
      </w:pPr>
      <w:r>
        <w:rPr>
          <w:b/>
          <w:color w:val="548DD4"/>
          <w:sz w:val="24"/>
        </w:rPr>
        <w:t>ОБЩИЙ СРОК ОКАЗАНИЯ УСЛУГИ (ПРОЦЕССА</w:t>
      </w:r>
      <w:proofErr w:type="gramStart"/>
      <w:r>
        <w:rPr>
          <w:b/>
          <w:color w:val="548DD4"/>
          <w:sz w:val="24"/>
        </w:rPr>
        <w:t>):</w:t>
      </w:r>
      <w:r>
        <w:rPr>
          <w:sz w:val="24"/>
        </w:rPr>
        <w:t>В</w:t>
      </w:r>
      <w:proofErr w:type="gramEnd"/>
      <w:r>
        <w:rPr>
          <w:sz w:val="24"/>
        </w:rPr>
        <w:t xml:space="preserve"> случаях осуществления технологического присоединения к электрическим сетям классом напряжения до 20 </w:t>
      </w:r>
      <w:proofErr w:type="spellStart"/>
      <w:r>
        <w:rPr>
          <w:sz w:val="24"/>
        </w:rPr>
        <w:t>кВ</w:t>
      </w:r>
      <w:proofErr w:type="spellEnd"/>
      <w:r>
        <w:rPr>
          <w:sz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</w:t>
      </w:r>
      <w:proofErr w:type="spellStart"/>
      <w:r>
        <w:rPr>
          <w:sz w:val="24"/>
        </w:rPr>
        <w:t>энергопринимающие</w:t>
      </w:r>
      <w:proofErr w:type="spellEnd"/>
      <w:r>
        <w:rPr>
          <w:sz w:val="24"/>
        </w:rPr>
        <w:t xml:space="preserve"> устройства, составляет не более 300 метров в городах и поселках городского типа и не более 500 метров в сельской местности:</w:t>
      </w:r>
    </w:p>
    <w:p w:rsidR="00A87A1C" w:rsidRDefault="00A87A1C" w:rsidP="00A87A1C">
      <w:pPr>
        <w:ind w:firstLine="709"/>
        <w:jc w:val="both"/>
        <w:rPr>
          <w:sz w:val="24"/>
        </w:rPr>
      </w:pPr>
      <w:r>
        <w:rPr>
          <w:sz w:val="24"/>
        </w:rPr>
        <w:t xml:space="preserve">- если 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>
        <w:rPr>
          <w:sz w:val="24"/>
        </w:rPr>
        <w:t>энергопринимающих</w:t>
      </w:r>
      <w:proofErr w:type="spellEnd"/>
      <w:r>
        <w:rPr>
          <w:sz w:val="24"/>
        </w:rPr>
        <w:t xml:space="preserve"> устройств и (или) объектов электроэнергетики - </w:t>
      </w:r>
      <w:r>
        <w:rPr>
          <w:b/>
          <w:sz w:val="24"/>
        </w:rPr>
        <w:t>1 год с даты заключения договора</w:t>
      </w:r>
      <w:r>
        <w:rPr>
          <w:sz w:val="24"/>
        </w:rPr>
        <w:t>;</w:t>
      </w:r>
    </w:p>
    <w:p w:rsidR="00A87A1C" w:rsidRDefault="00A87A1C" w:rsidP="00A87A1C">
      <w:pPr>
        <w:ind w:firstLine="709"/>
        <w:rPr>
          <w:sz w:val="24"/>
        </w:rPr>
      </w:pPr>
      <w:r>
        <w:rPr>
          <w:sz w:val="24"/>
        </w:rPr>
        <w:lastRenderedPageBreak/>
        <w:t xml:space="preserve">При несоблюдении всех вышеуказанных условий – </w:t>
      </w:r>
      <w:r>
        <w:rPr>
          <w:b/>
          <w:sz w:val="24"/>
        </w:rPr>
        <w:t>2 года с даты заключения договора</w:t>
      </w:r>
      <w:r>
        <w:rPr>
          <w:sz w:val="24"/>
        </w:rPr>
        <w:t>. По инициативе (обращению) заявителя договором могут быть установлены иные сроки (но не более 4 лет).</w:t>
      </w:r>
    </w:p>
    <w:p w:rsidR="00A87A1C" w:rsidRDefault="00A87A1C" w:rsidP="00A87A1C">
      <w:pPr>
        <w:jc w:val="both"/>
        <w:rPr>
          <w:b/>
          <w:color w:val="548DD4"/>
          <w:sz w:val="24"/>
        </w:rPr>
      </w:pPr>
      <w:r>
        <w:rPr>
          <w:b/>
          <w:color w:val="548DD4"/>
          <w:sz w:val="24"/>
        </w:rPr>
        <w:t>СОСТАВ, ПОСЛЕДОВАТЕЛЬНОСТЬ И СРОКИ ОКАЗАНИЯ УСЛУГИ (ПРОЦЕССА):</w:t>
      </w:r>
    </w:p>
    <w:p w:rsidR="00563A45" w:rsidRDefault="00563A45" w:rsidP="00A87A1C">
      <w:pPr>
        <w:jc w:val="both"/>
        <w:rPr>
          <w:b/>
          <w:color w:val="548DD4"/>
          <w:sz w:val="24"/>
        </w:rPr>
      </w:pPr>
    </w:p>
    <w:tbl>
      <w:tblPr>
        <w:tblW w:w="493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81"/>
        <w:gridCol w:w="2225"/>
        <w:gridCol w:w="2133"/>
        <w:gridCol w:w="2700"/>
        <w:gridCol w:w="2271"/>
        <w:gridCol w:w="1771"/>
        <w:gridCol w:w="2795"/>
      </w:tblGrid>
      <w:tr w:rsidR="00A87A1C" w:rsidRPr="00411EF4" w:rsidTr="002E1434">
        <w:trPr>
          <w:tblHeader/>
        </w:trPr>
        <w:tc>
          <w:tcPr>
            <w:tcW w:w="167" w:type="pct"/>
            <w:shd w:val="clear" w:color="auto" w:fill="4F81BD"/>
          </w:tcPr>
          <w:p w:rsidR="00A87A1C" w:rsidRPr="00411EF4" w:rsidRDefault="00A87A1C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11EF4">
              <w:rPr>
                <w:b/>
                <w:bCs/>
                <w:color w:val="FFFFFF"/>
                <w:sz w:val="22"/>
                <w:szCs w:val="22"/>
              </w:rPr>
              <w:t>№</w:t>
            </w:r>
          </w:p>
        </w:tc>
        <w:tc>
          <w:tcPr>
            <w:tcW w:w="774" w:type="pct"/>
            <w:shd w:val="clear" w:color="auto" w:fill="4F81BD"/>
          </w:tcPr>
          <w:p w:rsidR="00A87A1C" w:rsidRPr="00411EF4" w:rsidRDefault="00A87A1C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11EF4">
              <w:rPr>
                <w:b/>
                <w:bCs/>
                <w:color w:val="FFFFFF"/>
                <w:sz w:val="22"/>
                <w:szCs w:val="22"/>
              </w:rPr>
              <w:t>Этап</w:t>
            </w:r>
          </w:p>
        </w:tc>
        <w:tc>
          <w:tcPr>
            <w:tcW w:w="742" w:type="pct"/>
            <w:shd w:val="clear" w:color="auto" w:fill="4F81BD"/>
          </w:tcPr>
          <w:p w:rsidR="00A87A1C" w:rsidRPr="00411EF4" w:rsidRDefault="00A87A1C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11EF4">
              <w:rPr>
                <w:b/>
                <w:bCs/>
                <w:color w:val="FFFFFF"/>
                <w:sz w:val="22"/>
                <w:szCs w:val="22"/>
              </w:rPr>
              <w:t>Условие этапа</w:t>
            </w:r>
          </w:p>
        </w:tc>
        <w:tc>
          <w:tcPr>
            <w:tcW w:w="939" w:type="pct"/>
            <w:shd w:val="clear" w:color="auto" w:fill="4F81BD"/>
          </w:tcPr>
          <w:p w:rsidR="00A87A1C" w:rsidRPr="00411EF4" w:rsidRDefault="00A87A1C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11EF4">
              <w:rPr>
                <w:b/>
                <w:bCs/>
                <w:color w:val="FFFFFF"/>
                <w:sz w:val="22"/>
                <w:szCs w:val="22"/>
              </w:rPr>
              <w:t>Содержание</w:t>
            </w:r>
          </w:p>
        </w:tc>
        <w:tc>
          <w:tcPr>
            <w:tcW w:w="790" w:type="pct"/>
            <w:shd w:val="clear" w:color="auto" w:fill="4F81BD"/>
          </w:tcPr>
          <w:p w:rsidR="00A87A1C" w:rsidRPr="00411EF4" w:rsidRDefault="00A87A1C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11EF4">
              <w:rPr>
                <w:b/>
                <w:bCs/>
                <w:color w:val="FFFFFF"/>
                <w:sz w:val="22"/>
                <w:szCs w:val="22"/>
              </w:rPr>
              <w:t>Форма предоставления</w:t>
            </w:r>
          </w:p>
        </w:tc>
        <w:tc>
          <w:tcPr>
            <w:tcW w:w="616" w:type="pct"/>
            <w:shd w:val="clear" w:color="auto" w:fill="4F81BD"/>
          </w:tcPr>
          <w:p w:rsidR="00A87A1C" w:rsidRPr="00411EF4" w:rsidRDefault="00A87A1C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11EF4">
              <w:rPr>
                <w:b/>
                <w:bCs/>
                <w:color w:val="FFFFFF"/>
                <w:sz w:val="22"/>
                <w:szCs w:val="22"/>
              </w:rPr>
              <w:t>Срок исполнения</w:t>
            </w:r>
          </w:p>
        </w:tc>
        <w:tc>
          <w:tcPr>
            <w:tcW w:w="972" w:type="pct"/>
            <w:shd w:val="clear" w:color="auto" w:fill="4F81BD"/>
          </w:tcPr>
          <w:p w:rsidR="00A87A1C" w:rsidRPr="00411EF4" w:rsidRDefault="00A87A1C" w:rsidP="002E1434">
            <w:pPr>
              <w:jc w:val="center"/>
              <w:rPr>
                <w:b/>
                <w:bCs/>
                <w:color w:val="FFFFFF"/>
                <w:sz w:val="22"/>
                <w:szCs w:val="22"/>
              </w:rPr>
            </w:pPr>
            <w:r w:rsidRPr="00411EF4">
              <w:rPr>
                <w:b/>
                <w:bCs/>
                <w:color w:val="FFFFFF"/>
                <w:sz w:val="22"/>
                <w:szCs w:val="22"/>
              </w:rPr>
              <w:t>Ссылка на нормативно правовой акт</w:t>
            </w:r>
          </w:p>
        </w:tc>
      </w:tr>
      <w:tr w:rsidR="00A87A1C" w:rsidRPr="00411EF4" w:rsidTr="002E1434">
        <w:tc>
          <w:tcPr>
            <w:tcW w:w="167" w:type="pct"/>
            <w:vMerge w:val="restart"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1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spacing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1.1.</w:t>
            </w:r>
            <w:r w:rsidRPr="00411EF4">
              <w:rPr>
                <w:sz w:val="22"/>
                <w:szCs w:val="22"/>
              </w:rPr>
              <w:t> Заявитель подает заявку на технологическое присоединение;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Не ограничен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 8, 9, 10 Правил технологического присоединения</w:t>
            </w:r>
            <w:r w:rsidRPr="00411EF4">
              <w:rPr>
                <w:rStyle w:val="afa"/>
                <w:rFonts w:eastAsia="Calibri"/>
                <w:sz w:val="22"/>
                <w:szCs w:val="22"/>
                <w:lang w:eastAsia="en-US"/>
              </w:rPr>
              <w:footnoteReference w:id="1"/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A87A1C" w:rsidRPr="00411EF4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При отсутствии сведений и документов,  установленных п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унктами  9, 10 Правил технологического присоединения</w:t>
            </w: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1.2</w:t>
            </w:r>
            <w:r w:rsidRPr="00411EF4">
              <w:rPr>
                <w:sz w:val="22"/>
                <w:szCs w:val="22"/>
              </w:rPr>
              <w:t>. 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Уведомление в письменной форме направляется 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Arial Narrow" w:hAnsi="Arial Narrow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3 рабочих дней со дня получения заявки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A87A1C" w:rsidRPr="00411EF4" w:rsidTr="002E1434">
        <w:trPr>
          <w:trHeight w:val="86"/>
        </w:trPr>
        <w:tc>
          <w:tcPr>
            <w:tcW w:w="167" w:type="pct"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1.3. </w:t>
            </w:r>
            <w:r w:rsidRPr="00411EF4">
              <w:rPr>
                <w:sz w:val="22"/>
                <w:szCs w:val="22"/>
              </w:rPr>
              <w:t>Направление сетевой организацией копии заявки на рассмотрение системному оператору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5 рабочих дней с даты получения заявки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21 Правил технологического присоединения</w:t>
            </w:r>
          </w:p>
        </w:tc>
      </w:tr>
      <w:tr w:rsidR="00A87A1C" w:rsidRPr="00411EF4" w:rsidTr="002E1434">
        <w:trPr>
          <w:trHeight w:val="86"/>
        </w:trPr>
        <w:tc>
          <w:tcPr>
            <w:tcW w:w="167" w:type="pct"/>
            <w:vMerge w:val="restart"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2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Заключение договора об осуществлении технологического 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lastRenderedPageBreak/>
              <w:t>присоединения к электрическим сетям</w:t>
            </w: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lastRenderedPageBreak/>
              <w:t xml:space="preserve">При необходимости согласования сетевой организации </w:t>
            </w:r>
            <w:r w:rsidRPr="00411EF4">
              <w:rPr>
                <w:sz w:val="22"/>
                <w:szCs w:val="22"/>
              </w:rPr>
              <w:lastRenderedPageBreak/>
              <w:t>технических условий с системным оператором</w:t>
            </w: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lastRenderedPageBreak/>
              <w:t>2.1. </w:t>
            </w:r>
            <w:r w:rsidRPr="00411EF4">
              <w:rPr>
                <w:sz w:val="22"/>
                <w:szCs w:val="22"/>
              </w:rPr>
              <w:t xml:space="preserve">Направление заявителю уведомления об увеличении срока и дате его завершения, в </w:t>
            </w:r>
            <w:r w:rsidRPr="00411EF4">
              <w:rPr>
                <w:sz w:val="22"/>
                <w:szCs w:val="22"/>
              </w:rPr>
              <w:lastRenderedPageBreak/>
              <w:t>связи с согласованием технических условий с системным оператором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lastRenderedPageBreak/>
              <w:t>Уведомление в письменной форме направляется 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, 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lastRenderedPageBreak/>
              <w:t>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lastRenderedPageBreak/>
              <w:t>-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15, 21 Правил технологического присоединения</w:t>
            </w:r>
          </w:p>
        </w:tc>
      </w:tr>
      <w:tr w:rsidR="00A87A1C" w:rsidRPr="00411EF4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2.2.</w:t>
            </w:r>
            <w:r w:rsidRPr="00411EF4">
              <w:rPr>
                <w:sz w:val="22"/>
                <w:szCs w:val="22"/>
              </w:rPr>
              <w:t> 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-20 дней со дня получения заявки;</w:t>
            </w:r>
          </w:p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 xml:space="preserve">-в случае отсутствия </w:t>
            </w:r>
            <w:proofErr w:type="gramStart"/>
            <w:r w:rsidRPr="00411EF4">
              <w:rPr>
                <w:rFonts w:ascii="Times New Roman" w:eastAsia="Times New Roman" w:hAnsi="Times New Roman"/>
                <w:lang w:eastAsia="ru-RU"/>
              </w:rPr>
              <w:t>сведений  (</w:t>
            </w:r>
            <w:proofErr w:type="gramEnd"/>
            <w:r w:rsidRPr="00411EF4">
              <w:rPr>
                <w:rFonts w:ascii="Times New Roman" w:eastAsia="Times New Roman" w:hAnsi="Times New Roman"/>
                <w:lang w:eastAsia="ru-RU"/>
              </w:rPr>
              <w:t>документов) 20 дней с даты  получения недостающих сведений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ind w:firstLine="12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-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не позднее 3 рабочих дней со дня  согласования с системным оператором тех. условий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A87A1C" w:rsidRPr="00411EF4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2.3</w:t>
            </w:r>
            <w:r w:rsidRPr="00411EF4">
              <w:rPr>
                <w:sz w:val="22"/>
                <w:szCs w:val="22"/>
              </w:rPr>
              <w:t>. П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полномочия лица, подписавшего такой договор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В течение 10 рабочих дней с даты получения подписанного сетевой организацией проекта договора</w:t>
            </w:r>
          </w:p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 xml:space="preserve">В случае </w:t>
            </w:r>
            <w:r w:rsidR="00563A45" w:rsidRPr="00411EF4">
              <w:rPr>
                <w:rFonts w:ascii="Times New Roman" w:eastAsia="Times New Roman" w:hAnsi="Times New Roman"/>
                <w:lang w:eastAsia="ru-RU"/>
              </w:rPr>
              <w:t>не направления</w:t>
            </w:r>
            <w:r w:rsidRPr="00411EF4">
              <w:rPr>
                <w:rFonts w:ascii="Times New Roman" w:eastAsia="Times New Roman" w:hAnsi="Times New Roman"/>
                <w:lang w:eastAsia="ru-RU"/>
              </w:rPr>
              <w:t xml:space="preserve"> заявителем подписанного проекта договора либо мотивированного отказа от его подписания, но не ранее чем через 30 рабочих дней со дня получения заявителем подписанного сетевой организацией проекта договора и технических условий, поданная этим заявителем заявка аннулируется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A87A1C" w:rsidRPr="00411EF4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 xml:space="preserve">2.4 </w:t>
            </w:r>
            <w:r w:rsidRPr="00411EF4">
              <w:rPr>
                <w:sz w:val="22"/>
                <w:szCs w:val="22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10 рабочих дней с даты получения от заявителя мотивированного требования о приведении проекта договора в соответствие с Правилами ТП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15 Правил технологического присоединения</w:t>
            </w:r>
          </w:p>
        </w:tc>
      </w:tr>
      <w:tr w:rsidR="00A87A1C" w:rsidRPr="00411EF4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2.5</w:t>
            </w:r>
            <w:r w:rsidRPr="00411EF4">
              <w:rPr>
                <w:sz w:val="22"/>
                <w:szCs w:val="22"/>
              </w:rPr>
              <w:t>. 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 (по желанию).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письменной или электронной форме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pStyle w:val="af7"/>
              <w:autoSpaceDE w:val="0"/>
              <w:autoSpaceDN w:val="0"/>
              <w:adjustRightInd w:val="0"/>
              <w:spacing w:line="240" w:lineRule="auto"/>
              <w:ind w:left="34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11EF4">
              <w:rPr>
                <w:rFonts w:ascii="Times New Roman" w:eastAsia="Times New Roman" w:hAnsi="Times New Roman"/>
                <w:lang w:eastAsia="ru-RU"/>
              </w:rPr>
              <w:t>не позднее 2 рабочих дней с даты заключения договора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15.1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Выполнение сторонами мероприятий по технологическому присоединению, предусмотренных договором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Заключенный договор об осуществлении технологического присоединения</w:t>
            </w: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3.1</w:t>
            </w:r>
            <w:r w:rsidRPr="00411EF4">
              <w:rPr>
                <w:sz w:val="22"/>
                <w:szCs w:val="22"/>
              </w:rPr>
              <w:t>. Оплата услуг по договору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-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16, 18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3.2</w:t>
            </w:r>
            <w:r w:rsidRPr="00411EF4">
              <w:rPr>
                <w:sz w:val="22"/>
                <w:szCs w:val="22"/>
              </w:rPr>
              <w:t>. 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3.3</w:t>
            </w:r>
            <w:r w:rsidRPr="00411EF4">
              <w:rPr>
                <w:sz w:val="22"/>
                <w:szCs w:val="22"/>
              </w:rPr>
              <w:t>. 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3.4</w:t>
            </w:r>
            <w:r w:rsidRPr="00411EF4">
              <w:rPr>
                <w:sz w:val="22"/>
                <w:szCs w:val="22"/>
              </w:rPr>
              <w:t xml:space="preserve">. 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После выполнения технических условий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85, 86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При необходимости согласования сетевой организации технических условий с системным оператором</w:t>
            </w: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3.5</w:t>
            </w:r>
            <w:r w:rsidRPr="00411EF4">
              <w:rPr>
                <w:sz w:val="22"/>
                <w:szCs w:val="22"/>
              </w:rPr>
              <w:t>.Направление с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Копии уведомления заявителя с необходимым пакетом документов </w:t>
            </w:r>
            <w:r w:rsidRPr="00411EF4">
              <w:rPr>
                <w:sz w:val="22"/>
                <w:szCs w:val="22"/>
              </w:rPr>
              <w:t>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течение 2 дней со дня получения от заявителя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94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4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Проверка выполнения технических условий</w:t>
            </w: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Направление   заявителем сетевой организацией уведомления о выполнении технических условий</w:t>
            </w: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4.1.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Проверка соответствия технических решений, параметров оборудования (устройств) 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Акт о выполнении технических условий.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При невыполнении требований технических условий сетевая организация в письменной форме уведомляет об этом заявителя.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3-дневный срок составляет и направляет для подписания заявителю подписанный со своей стороны в 2 экземплярах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83-89 Правил технологического присоединения</w:t>
            </w:r>
          </w:p>
        </w:tc>
      </w:tr>
      <w:tr w:rsidR="00A87A1C" w:rsidRPr="00411EF4" w:rsidTr="002E1434">
        <w:trPr>
          <w:trHeight w:val="86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4.2.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 Согласование Акта о выполнении технических условий с субъектом оперативно-диспетчерского управления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Согласованный Акт о выполнении технических условий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97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4.3.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Письменное уведомление способом, позволяющим установить дату отправки и получения уведомления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течение 5 дней со дня оформления акта о выполнении технических условий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18(1) - 18(4)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случае невыполнении заявителем 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4.4.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2E1F40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8" w:history="1">
              <w:r w:rsidR="00A87A1C" w:rsidRPr="00411EF4">
                <w:rPr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="00A87A1C" w:rsidRPr="00411EF4">
              <w:rPr>
                <w:rFonts w:eastAsia="Calibri"/>
                <w:sz w:val="22"/>
                <w:szCs w:val="22"/>
                <w:lang w:eastAsia="en-US"/>
              </w:rPr>
              <w:t xml:space="preserve"> о выполнении технических условий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Не позднее 3 рабочих дней после 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89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4.5.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Прием в эксплуатацию прибора учета.</w:t>
            </w:r>
          </w:p>
          <w:p w:rsidR="00A87A1C" w:rsidRPr="00411EF4" w:rsidRDefault="00A87A1C" w:rsidP="001715B5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2E1F40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hyperlink r:id="rId9" w:history="1">
              <w:r w:rsidR="00A87A1C" w:rsidRPr="00411EF4">
                <w:rPr>
                  <w:rFonts w:eastAsia="Calibri"/>
                  <w:sz w:val="22"/>
                  <w:szCs w:val="22"/>
                  <w:lang w:eastAsia="en-US"/>
                </w:rPr>
                <w:t>Акт</w:t>
              </w:r>
            </w:hyperlink>
            <w:r w:rsidR="00A87A1C" w:rsidRPr="00411EF4">
              <w:rPr>
                <w:rFonts w:eastAsia="Calibri"/>
                <w:sz w:val="22"/>
                <w:szCs w:val="22"/>
                <w:lang w:eastAsia="en-US"/>
              </w:rPr>
              <w:t xml:space="preserve"> допуска в эксплуатацию прибора учета в письменной форме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день проведения проверки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sz w:val="22"/>
                <w:szCs w:val="22"/>
              </w:rPr>
            </w:pPr>
            <w:r w:rsidRPr="00411EF4">
              <w:rPr>
                <w:sz w:val="22"/>
                <w:szCs w:val="22"/>
              </w:rPr>
              <w:t>П. 3 (ж) Единые стан</w:t>
            </w:r>
            <w:r w:rsidR="001715B5">
              <w:rPr>
                <w:sz w:val="22"/>
                <w:szCs w:val="22"/>
              </w:rPr>
              <w:t>д</w:t>
            </w:r>
            <w:r w:rsidRPr="00411EF4">
              <w:rPr>
                <w:sz w:val="22"/>
                <w:szCs w:val="22"/>
              </w:rPr>
              <w:t>арты качества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sz w:val="22"/>
                <w:szCs w:val="22"/>
              </w:rPr>
              <w:t>Раздел Х</w:t>
            </w:r>
            <w:r w:rsidRPr="00411EF4">
              <w:rPr>
                <w:rFonts w:ascii="Calibri" w:eastAsia="Calibri" w:hAnsi="Calibri"/>
                <w:sz w:val="22"/>
                <w:szCs w:val="22"/>
                <w:lang w:eastAsia="en-US"/>
              </w:rPr>
              <w:t xml:space="preserve"> </w:t>
            </w:r>
            <w:r w:rsidRPr="00411EF4">
              <w:rPr>
                <w:sz w:val="22"/>
                <w:szCs w:val="22"/>
              </w:rPr>
              <w:t>Основ функционирования розничных рынков электрической энергии</w:t>
            </w:r>
            <w:r w:rsidRPr="00411EF4">
              <w:rPr>
                <w:rStyle w:val="afa"/>
                <w:sz w:val="22"/>
                <w:szCs w:val="22"/>
              </w:rPr>
              <w:footnoteReference w:id="2"/>
            </w:r>
            <w:r w:rsidRPr="00411EF4">
              <w:rPr>
                <w:sz w:val="22"/>
                <w:szCs w:val="22"/>
              </w:rPr>
              <w:t xml:space="preserve"> и разделом </w:t>
            </w:r>
            <w:r w:rsidRPr="00411EF4">
              <w:rPr>
                <w:sz w:val="22"/>
                <w:szCs w:val="22"/>
                <w:lang w:val="en-US"/>
              </w:rPr>
              <w:t>VII</w:t>
            </w:r>
            <w:r w:rsidRPr="00411EF4">
              <w:rPr>
                <w:sz w:val="22"/>
                <w:szCs w:val="22"/>
              </w:rPr>
              <w:t xml:space="preserve"> Правил предоставления коммунальных услуг утвержденных постановлением Правительства Российской Федерации от 6 мая 2011 г. </w:t>
            </w:r>
            <w:r w:rsidRPr="00411EF4">
              <w:rPr>
                <w:sz w:val="22"/>
                <w:szCs w:val="22"/>
                <w:lang w:val="en-US"/>
              </w:rPr>
              <w:t>N</w:t>
            </w:r>
            <w:r w:rsidRPr="00411EF4">
              <w:rPr>
                <w:sz w:val="22"/>
                <w:szCs w:val="22"/>
              </w:rPr>
              <w:t xml:space="preserve"> 354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случае выполнения заявителем  требований технических условий</w:t>
            </w: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4.6.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Акт о выполнении технических условий в письменной форме направляется  </w:t>
            </w:r>
            <w:r w:rsidRPr="00411EF4">
              <w:rPr>
                <w:sz w:val="22"/>
                <w:szCs w:val="22"/>
              </w:rPr>
              <w:t>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3-дневный срок после проведения осмотра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88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A87A1C" w:rsidRPr="00411EF4" w:rsidRDefault="00A87A1C" w:rsidP="002E1434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 xml:space="preserve">4.7. 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Подписанный Акт о выполнении технических условий в письменной форме направляется  </w:t>
            </w:r>
            <w:r w:rsidRPr="00411EF4">
              <w:rPr>
                <w:sz w:val="22"/>
                <w:szCs w:val="22"/>
              </w:rPr>
              <w:t>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88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 w:val="restart"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5</w:t>
            </w:r>
          </w:p>
        </w:tc>
        <w:tc>
          <w:tcPr>
            <w:tcW w:w="774" w:type="pct"/>
            <w:vMerge w:val="restar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Присоединение объектов заявителя к электрическим сетям</w:t>
            </w:r>
          </w:p>
        </w:tc>
        <w:tc>
          <w:tcPr>
            <w:tcW w:w="742" w:type="pct"/>
            <w:vMerge w:val="restar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5.1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Пункты 7, 18 Правил технологического присоединения</w:t>
            </w:r>
          </w:p>
        </w:tc>
      </w:tr>
      <w:tr w:rsidR="00A87A1C" w:rsidRPr="00411EF4" w:rsidTr="002E1434">
        <w:trPr>
          <w:trHeight w:val="270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  <w:vAlign w:val="center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5.2.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Оформление сетевой организации и направление (выдача) заявителю:</w:t>
            </w:r>
          </w:p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Акта об осуществлении технологического присоединения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Подписанные со стороны сетевой организации Акты  в письменной форме направляются </w:t>
            </w:r>
            <w:r w:rsidRPr="00411EF4">
              <w:rPr>
                <w:sz w:val="22"/>
                <w:szCs w:val="22"/>
              </w:rPr>
              <w:t>способом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Не позднее 3 рабочих дней после осуществления сетевой организацией фактического присоединения объектов электроэнергетики (</w:t>
            </w:r>
            <w:proofErr w:type="spellStart"/>
            <w:r w:rsidRPr="00411EF4">
              <w:rPr>
                <w:rFonts w:eastAsia="Calibri"/>
                <w:sz w:val="22"/>
                <w:szCs w:val="22"/>
                <w:lang w:eastAsia="en-US"/>
              </w:rPr>
              <w:t>энергопринимающих</w:t>
            </w:r>
            <w:proofErr w:type="spellEnd"/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устройств) заявителя к электрическим сетям и фактического приема (подачи) напряжения и мощности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ind w:left="-16" w:hanging="16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19 Правил технологического присоединения</w:t>
            </w:r>
          </w:p>
        </w:tc>
      </w:tr>
      <w:tr w:rsidR="00A87A1C" w:rsidRPr="00411EF4" w:rsidTr="002E1434">
        <w:trPr>
          <w:trHeight w:val="695"/>
        </w:trPr>
        <w:tc>
          <w:tcPr>
            <w:tcW w:w="167" w:type="pct"/>
            <w:vMerge/>
            <w:shd w:val="clear" w:color="auto" w:fill="auto"/>
          </w:tcPr>
          <w:p w:rsidR="00A87A1C" w:rsidRPr="00411EF4" w:rsidRDefault="00A87A1C" w:rsidP="002E1434">
            <w:pPr>
              <w:jc w:val="both"/>
              <w:rPr>
                <w:b/>
                <w:bCs/>
                <w:color w:val="548DD4"/>
                <w:sz w:val="22"/>
                <w:szCs w:val="22"/>
              </w:rPr>
            </w:pPr>
          </w:p>
        </w:tc>
        <w:tc>
          <w:tcPr>
            <w:tcW w:w="774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42" w:type="pct"/>
            <w:vMerge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39" w:type="pct"/>
            <w:shd w:val="clear" w:color="auto" w:fill="auto"/>
          </w:tcPr>
          <w:p w:rsidR="00A87A1C" w:rsidRPr="00411EF4" w:rsidRDefault="00A87A1C" w:rsidP="001715B5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411EF4">
              <w:rPr>
                <w:b/>
                <w:bCs/>
                <w:color w:val="548DD4"/>
                <w:sz w:val="22"/>
                <w:szCs w:val="22"/>
              </w:rPr>
              <w:t>5.3.</w:t>
            </w:r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411EF4">
              <w:rPr>
                <w:rFonts w:eastAsia="Calibri"/>
                <w:sz w:val="22"/>
                <w:szCs w:val="22"/>
                <w:lang w:eastAsia="en-US"/>
              </w:rPr>
              <w:t>энергосбытовую</w:t>
            </w:r>
            <w:proofErr w:type="spellEnd"/>
            <w:r w:rsidRPr="00411EF4">
              <w:rPr>
                <w:rFonts w:eastAsia="Calibri"/>
                <w:sz w:val="22"/>
                <w:szCs w:val="22"/>
                <w:lang w:eastAsia="en-US"/>
              </w:rPr>
              <w:t xml:space="preserve"> организацию</w:t>
            </w:r>
          </w:p>
        </w:tc>
        <w:tc>
          <w:tcPr>
            <w:tcW w:w="790" w:type="pct"/>
            <w:shd w:val="clear" w:color="auto" w:fill="auto"/>
          </w:tcPr>
          <w:p w:rsidR="00A87A1C" w:rsidRPr="00411EF4" w:rsidRDefault="00A87A1C" w:rsidP="001715B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письменной или электронной форме</w:t>
            </w:r>
          </w:p>
        </w:tc>
        <w:tc>
          <w:tcPr>
            <w:tcW w:w="616" w:type="pct"/>
            <w:shd w:val="clear" w:color="auto" w:fill="auto"/>
          </w:tcPr>
          <w:p w:rsidR="00A87A1C" w:rsidRPr="00411EF4" w:rsidRDefault="00A87A1C" w:rsidP="001715B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shd w:val="clear" w:color="auto" w:fill="auto"/>
          </w:tcPr>
          <w:p w:rsidR="00A87A1C" w:rsidRPr="00411EF4" w:rsidRDefault="00A87A1C" w:rsidP="001715B5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411EF4">
              <w:rPr>
                <w:rFonts w:eastAsia="Calibri"/>
                <w:sz w:val="22"/>
                <w:szCs w:val="22"/>
                <w:lang w:eastAsia="en-US"/>
              </w:rPr>
              <w:t>Пункт 19 Правил технологического присоединения</w:t>
            </w:r>
          </w:p>
        </w:tc>
      </w:tr>
    </w:tbl>
    <w:p w:rsidR="00A87A1C" w:rsidRDefault="00A87A1C" w:rsidP="00A87A1C">
      <w:pPr>
        <w:spacing w:after="60"/>
        <w:jc w:val="both"/>
        <w:outlineLvl w:val="0"/>
        <w:rPr>
          <w:b/>
          <w:color w:val="548DD4"/>
          <w:sz w:val="26"/>
          <w:szCs w:val="26"/>
        </w:rPr>
      </w:pPr>
    </w:p>
    <w:p w:rsidR="004572A1" w:rsidRDefault="004572A1" w:rsidP="00A87A1C">
      <w:pPr>
        <w:autoSpaceDE w:val="0"/>
        <w:autoSpaceDN w:val="0"/>
        <w:adjustRightInd w:val="0"/>
        <w:ind w:left="709"/>
        <w:jc w:val="both"/>
        <w:rPr>
          <w:b/>
          <w:color w:val="548DD4"/>
          <w:sz w:val="24"/>
          <w:szCs w:val="24"/>
        </w:rPr>
        <w:sectPr w:rsidR="004572A1">
          <w:headerReference w:type="even" r:id="rId10"/>
          <w:headerReference w:type="default" r:id="rId11"/>
          <w:pgSz w:w="16840" w:h="11907" w:orient="landscape" w:code="9"/>
          <w:pgMar w:top="1418" w:right="1134" w:bottom="567" w:left="1134" w:header="720" w:footer="720" w:gutter="0"/>
          <w:cols w:space="720"/>
          <w:docGrid w:linePitch="272"/>
        </w:sectPr>
      </w:pPr>
    </w:p>
    <w:p w:rsidR="00A641A2" w:rsidRPr="001715B5" w:rsidRDefault="00A641A2" w:rsidP="00171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5B5">
        <w:rPr>
          <w:b/>
          <w:color w:val="548DD4"/>
          <w:sz w:val="24"/>
          <w:szCs w:val="24"/>
        </w:rPr>
        <w:t>КОНТАКТНАЯ ИНФОРМАЦИЯ ДЛЯ НАПРАВЛЕНИЯ ОБРАЩЕНИИЙ:</w:t>
      </w:r>
      <w:r w:rsidRPr="001715B5">
        <w:rPr>
          <w:sz w:val="24"/>
          <w:szCs w:val="24"/>
        </w:rPr>
        <w:t xml:space="preserve"> </w:t>
      </w:r>
    </w:p>
    <w:p w:rsidR="00A641A2" w:rsidRPr="001715B5" w:rsidRDefault="00A641A2" w:rsidP="00171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5B5">
        <w:rPr>
          <w:sz w:val="24"/>
          <w:szCs w:val="24"/>
        </w:rPr>
        <w:t xml:space="preserve">Номер телефонного центра обслуживания </w:t>
      </w:r>
      <w:r w:rsidRPr="001715B5">
        <w:rPr>
          <w:iCs/>
          <w:sz w:val="24"/>
          <w:szCs w:val="24"/>
        </w:rPr>
        <w:t xml:space="preserve">АО «Энергосервис Волги»: </w:t>
      </w:r>
      <w:r w:rsidRPr="001715B5">
        <w:rPr>
          <w:color w:val="4472C4" w:themeColor="accent5"/>
          <w:sz w:val="24"/>
          <w:szCs w:val="24"/>
        </w:rPr>
        <w:t>8(8452)320-324</w:t>
      </w:r>
    </w:p>
    <w:p w:rsidR="00A641A2" w:rsidRPr="001715B5" w:rsidRDefault="00A641A2" w:rsidP="00171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5B5">
        <w:rPr>
          <w:sz w:val="24"/>
          <w:szCs w:val="24"/>
        </w:rPr>
        <w:t xml:space="preserve">Адрес электронной почты </w:t>
      </w:r>
      <w:r w:rsidRPr="001715B5">
        <w:rPr>
          <w:iCs/>
          <w:sz w:val="24"/>
          <w:szCs w:val="24"/>
        </w:rPr>
        <w:t>АО «Энергосервис Волги»</w:t>
      </w:r>
      <w:r w:rsidRPr="001715B5">
        <w:rPr>
          <w:sz w:val="24"/>
          <w:szCs w:val="24"/>
        </w:rPr>
        <w:t xml:space="preserve">: </w:t>
      </w:r>
      <w:proofErr w:type="spellStart"/>
      <w:r w:rsidRPr="001715B5">
        <w:rPr>
          <w:b/>
          <w:color w:val="4472C4" w:themeColor="accent5"/>
          <w:sz w:val="24"/>
          <w:szCs w:val="24"/>
          <w:lang w:val="en-US"/>
        </w:rPr>
        <w:t>Energoservis</w:t>
      </w:r>
      <w:proofErr w:type="spellEnd"/>
      <w:r w:rsidRPr="001715B5">
        <w:rPr>
          <w:b/>
          <w:color w:val="4472C4" w:themeColor="accent5"/>
          <w:sz w:val="24"/>
          <w:szCs w:val="24"/>
        </w:rPr>
        <w:t>-</w:t>
      </w:r>
      <w:proofErr w:type="spellStart"/>
      <w:r w:rsidRPr="001715B5">
        <w:rPr>
          <w:b/>
          <w:color w:val="4472C4" w:themeColor="accent5"/>
          <w:sz w:val="24"/>
          <w:szCs w:val="24"/>
          <w:lang w:val="en-US"/>
        </w:rPr>
        <w:t>volgi</w:t>
      </w:r>
      <w:proofErr w:type="spellEnd"/>
      <w:r w:rsidRPr="001715B5">
        <w:rPr>
          <w:b/>
          <w:color w:val="4472C4" w:themeColor="accent5"/>
          <w:sz w:val="24"/>
          <w:szCs w:val="24"/>
        </w:rPr>
        <w:t>@</w:t>
      </w:r>
      <w:r w:rsidRPr="001715B5">
        <w:rPr>
          <w:b/>
          <w:color w:val="4472C4" w:themeColor="accent5"/>
          <w:sz w:val="24"/>
          <w:szCs w:val="24"/>
          <w:lang w:val="en-US"/>
        </w:rPr>
        <w:t>mail</w:t>
      </w:r>
      <w:r w:rsidRPr="001715B5">
        <w:rPr>
          <w:b/>
          <w:color w:val="4472C4" w:themeColor="accent5"/>
          <w:sz w:val="24"/>
          <w:szCs w:val="24"/>
        </w:rPr>
        <w:t>.</w:t>
      </w:r>
      <w:proofErr w:type="spellStart"/>
      <w:r w:rsidRPr="001715B5">
        <w:rPr>
          <w:b/>
          <w:color w:val="4472C4" w:themeColor="accent5"/>
          <w:sz w:val="24"/>
          <w:szCs w:val="24"/>
          <w:lang w:val="en-US"/>
        </w:rPr>
        <w:t>ru</w:t>
      </w:r>
      <w:proofErr w:type="spellEnd"/>
    </w:p>
    <w:p w:rsidR="00A641A2" w:rsidRPr="001715B5" w:rsidRDefault="00A641A2" w:rsidP="001715B5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1715B5">
        <w:rPr>
          <w:sz w:val="24"/>
          <w:szCs w:val="24"/>
        </w:rPr>
        <w:t xml:space="preserve">Адреса Центров обслуживания клиентов: </w:t>
      </w:r>
    </w:p>
    <w:p w:rsidR="002D011F" w:rsidRPr="00A32EE6" w:rsidRDefault="002D011F" w:rsidP="002D011F">
      <w:pPr>
        <w:shd w:val="clear" w:color="auto" w:fill="FFFFFF" w:themeFill="background1"/>
        <w:rPr>
          <w:sz w:val="24"/>
          <w:szCs w:val="24"/>
        </w:rPr>
      </w:pPr>
      <w:r w:rsidRPr="00A32EE6">
        <w:rPr>
          <w:sz w:val="24"/>
          <w:szCs w:val="24"/>
        </w:rPr>
        <w:t xml:space="preserve">АО "Энергосервис Волги"- 410012, Саратовская </w:t>
      </w:r>
      <w:proofErr w:type="spellStart"/>
      <w:r w:rsidRPr="00A32EE6">
        <w:rPr>
          <w:sz w:val="24"/>
          <w:szCs w:val="24"/>
        </w:rPr>
        <w:t>обл</w:t>
      </w:r>
      <w:proofErr w:type="spellEnd"/>
      <w:r w:rsidRPr="00A32EE6">
        <w:rPr>
          <w:sz w:val="24"/>
          <w:szCs w:val="24"/>
        </w:rPr>
        <w:t>,</w:t>
      </w:r>
      <w:r>
        <w:rPr>
          <w:sz w:val="24"/>
          <w:szCs w:val="24"/>
        </w:rPr>
        <w:t xml:space="preserve"> г.</w:t>
      </w:r>
      <w:r w:rsidRPr="00A32EE6">
        <w:rPr>
          <w:sz w:val="24"/>
          <w:szCs w:val="24"/>
        </w:rPr>
        <w:t xml:space="preserve"> Саратов, ул. Большая Казачья, </w:t>
      </w:r>
      <w:proofErr w:type="spellStart"/>
      <w:r w:rsidRPr="00A32EE6">
        <w:rPr>
          <w:sz w:val="24"/>
          <w:szCs w:val="24"/>
        </w:rPr>
        <w:t>зд</w:t>
      </w:r>
      <w:proofErr w:type="spellEnd"/>
      <w:r w:rsidRPr="00A32EE6">
        <w:rPr>
          <w:sz w:val="24"/>
          <w:szCs w:val="24"/>
        </w:rPr>
        <w:t>. 17/</w:t>
      </w:r>
      <w:proofErr w:type="gramStart"/>
      <w:r w:rsidRPr="00A32EE6">
        <w:rPr>
          <w:sz w:val="24"/>
          <w:szCs w:val="24"/>
        </w:rPr>
        <w:t>39,  стр.</w:t>
      </w:r>
      <w:proofErr w:type="gramEnd"/>
      <w:r w:rsidRPr="00A32EE6">
        <w:rPr>
          <w:sz w:val="24"/>
          <w:szCs w:val="24"/>
        </w:rPr>
        <w:t xml:space="preserve"> 1, помещение 4</w:t>
      </w:r>
    </w:p>
    <w:p w:rsidR="00D64D1C" w:rsidRDefault="00D64D1C">
      <w:pPr>
        <w:rPr>
          <w:sz w:val="24"/>
          <w:szCs w:val="24"/>
        </w:rPr>
      </w:pPr>
    </w:p>
    <w:sectPr w:rsidR="00D64D1C">
      <w:pgSz w:w="16840" w:h="11907" w:orient="landscape" w:code="9"/>
      <w:pgMar w:top="1418" w:right="1134" w:bottom="567" w:left="1134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F69" w:rsidRDefault="00E97F69">
      <w:pPr>
        <w:pStyle w:val="af"/>
      </w:pPr>
      <w:r>
        <w:separator/>
      </w:r>
    </w:p>
  </w:endnote>
  <w:endnote w:type="continuationSeparator" w:id="0">
    <w:p w:rsidR="00E97F69" w:rsidRDefault="00E97F69">
      <w:pPr>
        <w:pStyle w:val="af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F69" w:rsidRDefault="00E97F69">
      <w:pPr>
        <w:pStyle w:val="af"/>
      </w:pPr>
      <w:r>
        <w:separator/>
      </w:r>
    </w:p>
  </w:footnote>
  <w:footnote w:type="continuationSeparator" w:id="0">
    <w:p w:rsidR="00E97F69" w:rsidRDefault="00E97F69">
      <w:pPr>
        <w:pStyle w:val="af"/>
      </w:pPr>
      <w:r>
        <w:continuationSeparator/>
      </w:r>
    </w:p>
  </w:footnote>
  <w:footnote w:id="1">
    <w:p w:rsidR="00A87A1C" w:rsidRDefault="00A87A1C" w:rsidP="00A87A1C">
      <w:pPr>
        <w:pStyle w:val="afb"/>
        <w:jc w:val="both"/>
      </w:pPr>
      <w:r>
        <w:rPr>
          <w:rStyle w:val="afa"/>
        </w:rPr>
        <w:footnoteRef/>
      </w:r>
      <w:r>
        <w:t xml:space="preserve"> </w:t>
      </w:r>
      <w:r>
        <w:rPr>
          <w:rFonts w:ascii="Times New Roman" w:hAnsi="Times New Roman"/>
        </w:rPr>
        <w:t xml:space="preserve">Правила технологического присоединения </w:t>
      </w:r>
      <w:proofErr w:type="spellStart"/>
      <w:r>
        <w:rPr>
          <w:rFonts w:ascii="Times New Roman" w:hAnsi="Times New Roman"/>
        </w:rPr>
        <w:t>энергопринимающих</w:t>
      </w:r>
      <w:proofErr w:type="spellEnd"/>
      <w:r>
        <w:rPr>
          <w:rFonts w:ascii="Times New Roman" w:hAnsi="Times New Roman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 – далее по тексту Правила технологического присоединения.</w:t>
      </w:r>
    </w:p>
  </w:footnote>
  <w:footnote w:id="2">
    <w:p w:rsidR="00A87A1C" w:rsidRDefault="00A87A1C" w:rsidP="00A87A1C">
      <w:pPr>
        <w:autoSpaceDE w:val="0"/>
        <w:autoSpaceDN w:val="0"/>
        <w:adjustRightInd w:val="0"/>
        <w:jc w:val="both"/>
      </w:pPr>
      <w:r>
        <w:rPr>
          <w:rStyle w:val="afa"/>
        </w:rPr>
        <w:footnoteRef/>
      </w:r>
      <w:r>
        <w:t xml:space="preserve"> </w:t>
      </w:r>
      <w:r>
        <w:rPr>
          <w:sz w:val="24"/>
          <w:szCs w:val="24"/>
        </w:rPr>
        <w:t>Основы функционирования розничных рынков электрической энергии, утвержденные постановлением Правительства РФ от 04.05.2012 № 442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1C" w:rsidRDefault="00E97F69">
    <w:pPr>
      <w:pStyle w:val="a3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154</w:t>
    </w:r>
    <w:r>
      <w:rPr>
        <w:rStyle w:val="ab"/>
      </w:rPr>
      <w:fldChar w:fldCharType="end"/>
    </w:r>
  </w:p>
  <w:p w:rsidR="00D64D1C" w:rsidRDefault="00D64D1C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4D1C" w:rsidRDefault="00E97F69">
    <w:pPr>
      <w:pStyle w:val="a3"/>
      <w:framePr w:wrap="around" w:vAnchor="text" w:hAnchor="margin" w:xAlign="right" w:y="1"/>
      <w:rPr>
        <w:rStyle w:val="ab"/>
        <w:color w:val="FFFFFF"/>
      </w:rPr>
    </w:pPr>
    <w:r>
      <w:rPr>
        <w:rStyle w:val="ab"/>
        <w:color w:val="FFFFFF"/>
      </w:rPr>
      <w:fldChar w:fldCharType="begin"/>
    </w:r>
    <w:r>
      <w:rPr>
        <w:rStyle w:val="ab"/>
        <w:color w:val="FFFFFF"/>
      </w:rPr>
      <w:instrText xml:space="preserve">PAGE  </w:instrText>
    </w:r>
    <w:r>
      <w:rPr>
        <w:rStyle w:val="ab"/>
        <w:color w:val="FFFFFF"/>
      </w:rPr>
      <w:fldChar w:fldCharType="separate"/>
    </w:r>
    <w:r w:rsidR="002E1F40">
      <w:rPr>
        <w:rStyle w:val="ab"/>
        <w:noProof/>
        <w:color w:val="FFFFFF"/>
      </w:rPr>
      <w:t>10</w:t>
    </w:r>
    <w:r>
      <w:rPr>
        <w:rStyle w:val="ab"/>
        <w:color w:val="FFFFFF"/>
      </w:rPr>
      <w:fldChar w:fldCharType="end"/>
    </w:r>
  </w:p>
  <w:p w:rsidR="00D64D1C" w:rsidRDefault="00D64D1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E120B"/>
    <w:multiLevelType w:val="hybridMultilevel"/>
    <w:tmpl w:val="CC0A33BC"/>
    <w:lvl w:ilvl="0" w:tplc="894EE17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03C3E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31AC7"/>
    <w:multiLevelType w:val="multilevel"/>
    <w:tmpl w:val="E070AC0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3" w15:restartNumberingAfterBreak="0">
    <w:nsid w:val="258B7E8F"/>
    <w:multiLevelType w:val="hybridMultilevel"/>
    <w:tmpl w:val="FCEC6EE4"/>
    <w:lvl w:ilvl="0" w:tplc="AD5643C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F41ED"/>
    <w:multiLevelType w:val="hybridMultilevel"/>
    <w:tmpl w:val="A7667996"/>
    <w:lvl w:ilvl="0" w:tplc="E86409E8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7DDE"/>
    <w:multiLevelType w:val="multilevel"/>
    <w:tmpl w:val="AB6A74B6"/>
    <w:lvl w:ilvl="0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6" w15:restartNumberingAfterBreak="0">
    <w:nsid w:val="2F61599D"/>
    <w:multiLevelType w:val="multilevel"/>
    <w:tmpl w:val="338023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7" w15:restartNumberingAfterBreak="0">
    <w:nsid w:val="337253C8"/>
    <w:multiLevelType w:val="multilevel"/>
    <w:tmpl w:val="BE2054CC"/>
    <w:lvl w:ilvl="0">
      <w:start w:val="1"/>
      <w:numFmt w:val="bullet"/>
      <w:lvlText w:val=""/>
      <w:lvlJc w:val="left"/>
      <w:pPr>
        <w:ind w:left="0" w:firstLine="0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89"/>
        </w:tabs>
        <w:ind w:left="1789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6">
      <w:start w:val="1"/>
      <w:numFmt w:val="decimal"/>
      <w:lvlText w:val="%7"/>
      <w:lvlJc w:val="left"/>
      <w:pPr>
        <w:tabs>
          <w:tab w:val="num" w:pos="3229"/>
        </w:tabs>
        <w:ind w:left="3229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3589"/>
        </w:tabs>
        <w:ind w:left="3589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49"/>
        </w:tabs>
        <w:ind w:left="3949" w:hanging="360"/>
      </w:pPr>
      <w:rPr>
        <w:rFonts w:hint="default"/>
      </w:rPr>
    </w:lvl>
  </w:abstractNum>
  <w:abstractNum w:abstractNumId="8" w15:restartNumberingAfterBreak="0">
    <w:nsid w:val="3387761C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B12AF4"/>
    <w:multiLevelType w:val="multilevel"/>
    <w:tmpl w:val="64B4B5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6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0" w15:restartNumberingAfterBreak="0">
    <w:nsid w:val="367C6E3A"/>
    <w:multiLevelType w:val="multilevel"/>
    <w:tmpl w:val="567E908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1" w15:restartNumberingAfterBreak="0">
    <w:nsid w:val="375862A6"/>
    <w:multiLevelType w:val="multilevel"/>
    <w:tmpl w:val="B7547FE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2" w15:restartNumberingAfterBreak="0">
    <w:nsid w:val="37BA1D25"/>
    <w:multiLevelType w:val="multilevel"/>
    <w:tmpl w:val="FC4EF82E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5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3" w15:restartNumberingAfterBreak="0">
    <w:nsid w:val="40485A3A"/>
    <w:multiLevelType w:val="hybridMultilevel"/>
    <w:tmpl w:val="3C32CC30"/>
    <w:lvl w:ilvl="0" w:tplc="9984EC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407DF8"/>
    <w:multiLevelType w:val="hybridMultilevel"/>
    <w:tmpl w:val="EF04302C"/>
    <w:lvl w:ilvl="0" w:tplc="6C00C4B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4E0AE0"/>
    <w:multiLevelType w:val="multilevel"/>
    <w:tmpl w:val="DF5A1E2A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16" w15:restartNumberingAfterBreak="0">
    <w:nsid w:val="45836CF0"/>
    <w:multiLevelType w:val="hybridMultilevel"/>
    <w:tmpl w:val="1AA6C99C"/>
    <w:lvl w:ilvl="0" w:tplc="ED6AA86E">
      <w:start w:val="1"/>
      <w:numFmt w:val="decimal"/>
      <w:lvlText w:val="3.%1"/>
      <w:lvlJc w:val="left"/>
      <w:pPr>
        <w:ind w:left="142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46D80A2D"/>
    <w:multiLevelType w:val="multilevel"/>
    <w:tmpl w:val="083663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18" w15:restartNumberingAfterBreak="0">
    <w:nsid w:val="47D15B95"/>
    <w:multiLevelType w:val="hybridMultilevel"/>
    <w:tmpl w:val="53461106"/>
    <w:lvl w:ilvl="0" w:tplc="03542DC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052CC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061981"/>
    <w:multiLevelType w:val="multilevel"/>
    <w:tmpl w:val="059816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2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1" w15:restartNumberingAfterBreak="0">
    <w:nsid w:val="4A6D0230"/>
    <w:multiLevelType w:val="multilevel"/>
    <w:tmpl w:val="7340CB04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none"/>
      <w:isLgl/>
      <w:lvlText w:val="2.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52" w:hanging="1800"/>
      </w:pPr>
      <w:rPr>
        <w:rFonts w:hint="default"/>
      </w:rPr>
    </w:lvl>
  </w:abstractNum>
  <w:abstractNum w:abstractNumId="22" w15:restartNumberingAfterBreak="0">
    <w:nsid w:val="5186543D"/>
    <w:multiLevelType w:val="hybridMultilevel"/>
    <w:tmpl w:val="BBB21568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C26B97"/>
    <w:multiLevelType w:val="multilevel"/>
    <w:tmpl w:val="8786958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4" w15:restartNumberingAfterBreak="0">
    <w:nsid w:val="59B24F12"/>
    <w:multiLevelType w:val="hybridMultilevel"/>
    <w:tmpl w:val="7BF00FBE"/>
    <w:lvl w:ilvl="0" w:tplc="F810300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CD5D24"/>
    <w:multiLevelType w:val="hybridMultilevel"/>
    <w:tmpl w:val="E480C018"/>
    <w:lvl w:ilvl="0" w:tplc="CE3E9D14">
      <w:start w:val="1"/>
      <w:numFmt w:val="russianLower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647E0C1D"/>
    <w:multiLevelType w:val="hybridMultilevel"/>
    <w:tmpl w:val="B0321CEE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692625C7"/>
    <w:multiLevelType w:val="hybridMultilevel"/>
    <w:tmpl w:val="ED8A6D2C"/>
    <w:lvl w:ilvl="0" w:tplc="CE3E9D1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 w15:restartNumberingAfterBreak="0">
    <w:nsid w:val="69EA7931"/>
    <w:multiLevelType w:val="hybridMultilevel"/>
    <w:tmpl w:val="619293DC"/>
    <w:lvl w:ilvl="0" w:tplc="6702322A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A84956"/>
    <w:multiLevelType w:val="hybridMultilevel"/>
    <w:tmpl w:val="34D8CA9E"/>
    <w:lvl w:ilvl="0" w:tplc="71B48362">
      <w:start w:val="1"/>
      <w:numFmt w:val="russianLower"/>
      <w:lvlText w:val="%1)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E20AC"/>
    <w:multiLevelType w:val="hybridMultilevel"/>
    <w:tmpl w:val="222AF3D0"/>
    <w:lvl w:ilvl="0" w:tplc="0A8CDD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90B603D"/>
    <w:multiLevelType w:val="multilevel"/>
    <w:tmpl w:val="30220D1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5.6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2" w15:restartNumberingAfterBreak="0">
    <w:nsid w:val="7A4A2A4D"/>
    <w:multiLevelType w:val="multilevel"/>
    <w:tmpl w:val="4216944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  <w:color w:val="auto"/>
      </w:rPr>
    </w:lvl>
  </w:abstractNum>
  <w:abstractNum w:abstractNumId="33" w15:restartNumberingAfterBreak="0">
    <w:nsid w:val="7D83620B"/>
    <w:multiLevelType w:val="hybridMultilevel"/>
    <w:tmpl w:val="38E4DDBE"/>
    <w:lvl w:ilvl="0" w:tplc="D924DC2C">
      <w:start w:val="1"/>
      <w:numFmt w:val="bullet"/>
      <w:lvlText w:val="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34" w15:restartNumberingAfterBreak="0">
    <w:nsid w:val="7E414DB8"/>
    <w:multiLevelType w:val="multilevel"/>
    <w:tmpl w:val="F37804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44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num w:numId="1">
    <w:abstractNumId w:val="23"/>
  </w:num>
  <w:num w:numId="2">
    <w:abstractNumId w:val="32"/>
  </w:num>
  <w:num w:numId="3">
    <w:abstractNumId w:val="7"/>
  </w:num>
  <w:num w:numId="4">
    <w:abstractNumId w:val="33"/>
  </w:num>
  <w:num w:numId="5">
    <w:abstractNumId w:val="22"/>
  </w:num>
  <w:num w:numId="6">
    <w:abstractNumId w:val="20"/>
  </w:num>
  <w:num w:numId="7">
    <w:abstractNumId w:val="6"/>
  </w:num>
  <w:num w:numId="8">
    <w:abstractNumId w:val="25"/>
  </w:num>
  <w:num w:numId="9">
    <w:abstractNumId w:val="30"/>
  </w:num>
  <w:num w:numId="10">
    <w:abstractNumId w:val="13"/>
  </w:num>
  <w:num w:numId="11">
    <w:abstractNumId w:val="10"/>
  </w:num>
  <w:num w:numId="12">
    <w:abstractNumId w:val="24"/>
  </w:num>
  <w:num w:numId="13">
    <w:abstractNumId w:val="12"/>
  </w:num>
  <w:num w:numId="14">
    <w:abstractNumId w:val="29"/>
  </w:num>
  <w:num w:numId="15">
    <w:abstractNumId w:val="3"/>
  </w:num>
  <w:num w:numId="16">
    <w:abstractNumId w:val="17"/>
  </w:num>
  <w:num w:numId="17">
    <w:abstractNumId w:val="4"/>
  </w:num>
  <w:num w:numId="18">
    <w:abstractNumId w:val="14"/>
  </w:num>
  <w:num w:numId="19">
    <w:abstractNumId w:val="18"/>
  </w:num>
  <w:num w:numId="20">
    <w:abstractNumId w:val="31"/>
  </w:num>
  <w:num w:numId="21">
    <w:abstractNumId w:val="28"/>
  </w:num>
  <w:num w:numId="22">
    <w:abstractNumId w:val="26"/>
  </w:num>
  <w:num w:numId="23">
    <w:abstractNumId w:val="2"/>
  </w:num>
  <w:num w:numId="24">
    <w:abstractNumId w:val="34"/>
  </w:num>
  <w:num w:numId="25">
    <w:abstractNumId w:val="0"/>
  </w:num>
  <w:num w:numId="26">
    <w:abstractNumId w:val="15"/>
  </w:num>
  <w:num w:numId="27">
    <w:abstractNumId w:val="21"/>
  </w:num>
  <w:num w:numId="28">
    <w:abstractNumId w:val="9"/>
  </w:num>
  <w:num w:numId="29">
    <w:abstractNumId w:val="11"/>
  </w:num>
  <w:num w:numId="30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3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1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4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2">
    <w:abstractNumId w:val="21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5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3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7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4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8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5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9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6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0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7">
    <w:abstractNumId w:val="9"/>
    <w:lvlOverride w:ilvl="0">
      <w:lvl w:ilvl="0">
        <w:start w:val="6"/>
        <w:numFmt w:val="decimal"/>
        <w:lvlText w:val="%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2"/>
        <w:numFmt w:val="none"/>
        <w:isLgl/>
        <w:lvlText w:val="2.11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38">
    <w:abstractNumId w:val="5"/>
  </w:num>
  <w:num w:numId="39">
    <w:abstractNumId w:val="5"/>
    <w:lvlOverride w:ilvl="0">
      <w:lvl w:ilvl="0">
        <w:start w:val="3"/>
        <w:numFmt w:val="none"/>
        <w:lvlText w:val="3.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0">
    <w:abstractNumId w:val="5"/>
    <w:lvlOverride w:ilvl="0">
      <w:lvl w:ilvl="0">
        <w:start w:val="3"/>
        <w:numFmt w:val="none"/>
        <w:lvlText w:val="3.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1">
    <w:abstractNumId w:val="5"/>
    <w:lvlOverride w:ilvl="0">
      <w:lvl w:ilvl="0">
        <w:start w:val="3"/>
        <w:numFmt w:val="none"/>
        <w:lvlText w:val="3.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2">
    <w:abstractNumId w:val="5"/>
    <w:lvlOverride w:ilvl="0">
      <w:lvl w:ilvl="0">
        <w:start w:val="3"/>
        <w:numFmt w:val="none"/>
        <w:lvlText w:val="3.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3">
    <w:abstractNumId w:val="5"/>
    <w:lvlOverride w:ilvl="0">
      <w:lvl w:ilvl="0">
        <w:start w:val="3"/>
        <w:numFmt w:val="none"/>
        <w:lvlText w:val="3.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4">
    <w:abstractNumId w:val="5"/>
    <w:lvlOverride w:ilvl="0">
      <w:lvl w:ilvl="0">
        <w:start w:val="3"/>
        <w:numFmt w:val="none"/>
        <w:lvlText w:val="3.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5">
    <w:abstractNumId w:val="5"/>
    <w:lvlOverride w:ilvl="0">
      <w:lvl w:ilvl="0">
        <w:start w:val="3"/>
        <w:numFmt w:val="none"/>
        <w:lvlText w:val="3.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6">
    <w:abstractNumId w:val="5"/>
    <w:lvlOverride w:ilvl="0">
      <w:lvl w:ilvl="0">
        <w:start w:val="3"/>
        <w:numFmt w:val="none"/>
        <w:lvlText w:val="3.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7">
    <w:abstractNumId w:val="5"/>
    <w:lvlOverride w:ilvl="0">
      <w:lvl w:ilvl="0">
        <w:start w:val="3"/>
        <w:numFmt w:val="none"/>
        <w:lvlText w:val="3.1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8">
    <w:abstractNumId w:val="5"/>
    <w:lvlOverride w:ilvl="0">
      <w:lvl w:ilvl="0">
        <w:start w:val="3"/>
        <w:numFmt w:val="none"/>
        <w:lvlText w:val="3.1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49">
    <w:abstractNumId w:val="5"/>
    <w:lvlOverride w:ilvl="0">
      <w:lvl w:ilvl="0">
        <w:start w:val="3"/>
        <w:numFmt w:val="none"/>
        <w:lvlText w:val="3.1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0">
    <w:abstractNumId w:val="5"/>
    <w:lvlOverride w:ilvl="0">
      <w:lvl w:ilvl="0">
        <w:start w:val="3"/>
        <w:numFmt w:val="none"/>
        <w:lvlText w:val="3.13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1">
    <w:abstractNumId w:val="5"/>
    <w:lvlOverride w:ilvl="0">
      <w:lvl w:ilvl="0">
        <w:start w:val="3"/>
        <w:numFmt w:val="none"/>
        <w:lvlText w:val="3.14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2">
    <w:abstractNumId w:val="5"/>
    <w:lvlOverride w:ilvl="0">
      <w:lvl w:ilvl="0">
        <w:start w:val="3"/>
        <w:numFmt w:val="none"/>
        <w:lvlText w:val="3.15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3">
    <w:abstractNumId w:val="5"/>
    <w:lvlOverride w:ilvl="0">
      <w:lvl w:ilvl="0">
        <w:start w:val="3"/>
        <w:numFmt w:val="none"/>
        <w:lvlText w:val="3.16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4">
    <w:abstractNumId w:val="5"/>
    <w:lvlOverride w:ilvl="0">
      <w:lvl w:ilvl="0">
        <w:start w:val="3"/>
        <w:numFmt w:val="none"/>
        <w:lvlText w:val="3.17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5">
    <w:abstractNumId w:val="5"/>
    <w:lvlOverride w:ilvl="0">
      <w:lvl w:ilvl="0">
        <w:start w:val="3"/>
        <w:numFmt w:val="none"/>
        <w:lvlText w:val="3.18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6">
    <w:abstractNumId w:val="5"/>
    <w:lvlOverride w:ilvl="0">
      <w:lvl w:ilvl="0">
        <w:start w:val="3"/>
        <w:numFmt w:val="none"/>
        <w:lvlText w:val="3.19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7">
    <w:abstractNumId w:val="5"/>
    <w:lvlOverride w:ilvl="0">
      <w:lvl w:ilvl="0">
        <w:start w:val="3"/>
        <w:numFmt w:val="none"/>
        <w:lvlText w:val="3.20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8">
    <w:abstractNumId w:val="5"/>
    <w:lvlOverride w:ilvl="0">
      <w:lvl w:ilvl="0">
        <w:start w:val="3"/>
        <w:numFmt w:val="none"/>
        <w:lvlText w:val="3.21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59">
    <w:abstractNumId w:val="5"/>
    <w:lvlOverride w:ilvl="0">
      <w:lvl w:ilvl="0">
        <w:start w:val="3"/>
        <w:numFmt w:val="none"/>
        <w:lvlText w:val="3.22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"/>
        <w:lvlJc w:val="left"/>
        <w:pPr>
          <w:ind w:left="1069" w:hanging="360"/>
        </w:pPr>
        <w:rPr>
          <w:rFonts w:hint="default"/>
        </w:rPr>
      </w:lvl>
    </w:lvlOverride>
    <w:lvlOverride w:ilvl="2">
      <w:lvl w:ilvl="2">
        <w:start w:val="1"/>
        <w:numFmt w:val="decimal"/>
        <w:isLgl/>
        <w:lvlText w:val="%1.%2.%3"/>
        <w:lvlJc w:val="left"/>
        <w:pPr>
          <w:ind w:left="1778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"/>
        <w:lvlJc w:val="left"/>
        <w:pPr>
          <w:ind w:left="2127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"/>
        <w:lvlJc w:val="left"/>
        <w:pPr>
          <w:ind w:left="28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"/>
        <w:lvlJc w:val="left"/>
        <w:pPr>
          <w:ind w:left="3185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"/>
        <w:lvlJc w:val="left"/>
        <w:pPr>
          <w:ind w:left="389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"/>
        <w:lvlJc w:val="left"/>
        <w:pPr>
          <w:ind w:left="4243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"/>
        <w:lvlJc w:val="left"/>
        <w:pPr>
          <w:ind w:left="4952" w:hanging="1800"/>
        </w:pPr>
        <w:rPr>
          <w:rFonts w:hint="default"/>
        </w:rPr>
      </w:lvl>
    </w:lvlOverride>
  </w:num>
  <w:num w:numId="60">
    <w:abstractNumId w:val="16"/>
  </w:num>
  <w:num w:numId="61">
    <w:abstractNumId w:val="8"/>
  </w:num>
  <w:num w:numId="62">
    <w:abstractNumId w:val="19"/>
  </w:num>
  <w:num w:numId="63">
    <w:abstractNumId w:val="1"/>
  </w:num>
  <w:num w:numId="64">
    <w:abstractNumId w:val="27"/>
  </w:num>
  <w:numIdMacAtCleanup w:val="5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D1C"/>
    <w:rsid w:val="001715B5"/>
    <w:rsid w:val="002D011F"/>
    <w:rsid w:val="002E1F40"/>
    <w:rsid w:val="004572A1"/>
    <w:rsid w:val="0047795A"/>
    <w:rsid w:val="00563A45"/>
    <w:rsid w:val="00A641A2"/>
    <w:rsid w:val="00A87A1C"/>
    <w:rsid w:val="00D32ADF"/>
    <w:rsid w:val="00D64D1C"/>
    <w:rsid w:val="00E97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D8935249-011B-40A3-B85C-33625C9BF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val="ru-RU" w:eastAsia="ru-RU"/>
    </w:rPr>
  </w:style>
  <w:style w:type="paragraph" w:styleId="1">
    <w:name w:val="heading 1"/>
    <w:basedOn w:val="a"/>
    <w:next w:val="a"/>
    <w:qFormat/>
    <w:pPr>
      <w:keepNext/>
      <w:tabs>
        <w:tab w:val="num" w:pos="0"/>
      </w:tabs>
      <w:ind w:firstLine="28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b/>
      <w:lang w:val="x-none" w:eastAsia="x-none"/>
    </w:rPr>
  </w:style>
  <w:style w:type="paragraph" w:styleId="3">
    <w:name w:val="heading 3"/>
    <w:basedOn w:val="a"/>
    <w:next w:val="a"/>
    <w:qFormat/>
    <w:pPr>
      <w:keepNext/>
      <w:ind w:firstLine="426"/>
      <w:jc w:val="right"/>
      <w:outlineLvl w:val="2"/>
    </w:pPr>
    <w:rPr>
      <w:sz w:val="24"/>
      <w:vertAlign w:val="subscript"/>
    </w:rPr>
  </w:style>
  <w:style w:type="paragraph" w:styleId="4">
    <w:name w:val="heading 4"/>
    <w:basedOn w:val="a"/>
    <w:next w:val="a"/>
    <w:qFormat/>
    <w:pPr>
      <w:keepNext/>
      <w:ind w:firstLine="426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outlineLvl w:val="5"/>
    </w:pPr>
    <w:rPr>
      <w:sz w:val="24"/>
    </w:rPr>
  </w:style>
  <w:style w:type="paragraph" w:styleId="7">
    <w:name w:val="heading 7"/>
    <w:basedOn w:val="a"/>
    <w:next w:val="a"/>
    <w:qFormat/>
    <w:pPr>
      <w:keepNext/>
      <w:ind w:right="43"/>
      <w:jc w:val="center"/>
      <w:outlineLvl w:val="6"/>
    </w:pPr>
    <w:rPr>
      <w:sz w:val="24"/>
    </w:rPr>
  </w:style>
  <w:style w:type="paragraph" w:styleId="8">
    <w:name w:val="heading 8"/>
    <w:basedOn w:val="a"/>
    <w:next w:val="a"/>
    <w:qFormat/>
    <w:pPr>
      <w:keepNext/>
      <w:tabs>
        <w:tab w:val="num" w:pos="0"/>
      </w:tabs>
      <w:ind w:firstLine="284"/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pPr>
      <w:tabs>
        <w:tab w:val="num" w:pos="0"/>
      </w:tabs>
    </w:pPr>
    <w:rPr>
      <w:sz w:val="28"/>
      <w:lang w:val="x-none" w:eastAsia="x-none"/>
    </w:rPr>
  </w:style>
  <w:style w:type="paragraph" w:customStyle="1" w:styleId="10">
    <w:name w:val="заголовок 1"/>
    <w:basedOn w:val="a"/>
    <w:next w:val="a"/>
    <w:pPr>
      <w:keepNext/>
      <w:jc w:val="center"/>
    </w:pPr>
    <w:rPr>
      <w:b/>
      <w:sz w:val="24"/>
    </w:rPr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paragraph" w:styleId="23">
    <w:name w:val="Body Text Indent 2"/>
    <w:basedOn w:val="a"/>
    <w:link w:val="24"/>
    <w:pPr>
      <w:ind w:firstLine="284"/>
    </w:pPr>
  </w:style>
  <w:style w:type="paragraph" w:styleId="a5">
    <w:name w:val="Body Text"/>
    <w:basedOn w:val="a"/>
    <w:link w:val="a6"/>
    <w:rPr>
      <w:sz w:val="24"/>
      <w:lang w:val="x-none" w:eastAsia="x-none"/>
    </w:rPr>
  </w:style>
  <w:style w:type="paragraph" w:styleId="31">
    <w:name w:val="Body Text Indent 3"/>
    <w:basedOn w:val="a"/>
    <w:link w:val="32"/>
    <w:pPr>
      <w:ind w:firstLine="240"/>
    </w:pPr>
  </w:style>
  <w:style w:type="paragraph" w:styleId="a7">
    <w:name w:val="Body Text Indent"/>
    <w:basedOn w:val="a"/>
    <w:pPr>
      <w:jc w:val="right"/>
    </w:pPr>
    <w:rPr>
      <w:sz w:val="24"/>
    </w:rPr>
  </w:style>
  <w:style w:type="paragraph" w:styleId="a8">
    <w:name w:val="caption"/>
    <w:basedOn w:val="a"/>
    <w:next w:val="a"/>
    <w:qFormat/>
    <w:pPr>
      <w:tabs>
        <w:tab w:val="num" w:pos="0"/>
      </w:tabs>
      <w:jc w:val="center"/>
    </w:pPr>
    <w:rPr>
      <w:sz w:val="24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styleId="ab">
    <w:name w:val="page number"/>
    <w:basedOn w:val="a0"/>
  </w:style>
  <w:style w:type="paragraph" w:styleId="ac">
    <w:name w:val="Title"/>
    <w:basedOn w:val="a"/>
    <w:qFormat/>
    <w:pPr>
      <w:jc w:val="center"/>
    </w:pPr>
    <w:rPr>
      <w:b/>
      <w:sz w:val="32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rmal (Web)"/>
    <w:basedOn w:val="a"/>
    <w:uiPriority w:val="99"/>
    <w:pPr>
      <w:spacing w:before="100" w:beforeAutospacing="1" w:after="100" w:afterAutospacing="1"/>
      <w:jc w:val="both"/>
    </w:pPr>
    <w:rPr>
      <w:rFonts w:ascii="Verdana" w:hAnsi="Verdana"/>
      <w:sz w:val="14"/>
      <w:szCs w:val="14"/>
    </w:rPr>
  </w:style>
  <w:style w:type="character" w:styleId="af0">
    <w:name w:val="Strong"/>
    <w:qFormat/>
    <w:rPr>
      <w:b/>
      <w:bCs/>
    </w:rPr>
  </w:style>
  <w:style w:type="character" w:styleId="af1">
    <w:name w:val="Hyperlink"/>
    <w:uiPriority w:val="99"/>
    <w:rPr>
      <w:rFonts w:ascii="Verdana" w:hAnsi="Verdana" w:hint="default"/>
      <w:color w:val="990000"/>
      <w:sz w:val="14"/>
      <w:szCs w:val="14"/>
      <w:u w:val="single"/>
    </w:rPr>
  </w:style>
  <w:style w:type="paragraph" w:customStyle="1" w:styleId="formbox2">
    <w:name w:val="formbox2"/>
    <w:basedOn w:val="a"/>
    <w:pPr>
      <w:shd w:val="clear" w:color="auto" w:fill="FFEEEE"/>
      <w:spacing w:before="100" w:beforeAutospacing="1" w:after="100" w:afterAutospacing="1"/>
      <w:jc w:val="both"/>
    </w:pPr>
    <w:rPr>
      <w:rFonts w:ascii="Verdana" w:hAnsi="Verdana"/>
      <w:color w:val="000000"/>
      <w:sz w:val="16"/>
      <w:szCs w:val="16"/>
    </w:rPr>
  </w:style>
  <w:style w:type="paragraph" w:styleId="11">
    <w:name w:val="toc 1"/>
    <w:basedOn w:val="a"/>
    <w:next w:val="a"/>
    <w:autoRedefine/>
    <w:uiPriority w:val="39"/>
    <w:pPr>
      <w:tabs>
        <w:tab w:val="right" w:leader="dot" w:pos="9922"/>
      </w:tabs>
      <w:ind w:left="180"/>
    </w:pPr>
    <w:rPr>
      <w:sz w:val="24"/>
      <w:szCs w:val="24"/>
    </w:rPr>
  </w:style>
  <w:style w:type="character" w:customStyle="1" w:styleId="50">
    <w:name w:val="Заголовок 5 Знак"/>
    <w:link w:val="5"/>
    <w:rPr>
      <w:b/>
      <w:lang w:val="ru-RU" w:eastAsia="ru-RU" w:bidi="ar-SA"/>
    </w:rPr>
  </w:style>
  <w:style w:type="paragraph" w:styleId="25">
    <w:name w:val="toc 2"/>
    <w:basedOn w:val="a"/>
    <w:next w:val="a"/>
    <w:autoRedefine/>
    <w:uiPriority w:val="39"/>
    <w:pPr>
      <w:ind w:left="200"/>
    </w:pPr>
  </w:style>
  <w:style w:type="character" w:customStyle="1" w:styleId="trd121">
    <w:name w:val="trd121"/>
    <w:rPr>
      <w:rFonts w:ascii="Arial" w:hAnsi="Arial" w:cs="Arial" w:hint="default"/>
      <w:b/>
      <w:bCs/>
      <w:strike w:val="0"/>
      <w:dstrike w:val="0"/>
      <w:color w:val="800000"/>
      <w:sz w:val="24"/>
      <w:szCs w:val="24"/>
      <w:u w:val="none"/>
      <w:effect w:val="none"/>
    </w:rPr>
  </w:style>
  <w:style w:type="character" w:customStyle="1" w:styleId="tbl121">
    <w:name w:val="tbl121"/>
    <w:rPr>
      <w:rFonts w:ascii="Tahoma" w:hAnsi="Tahoma" w:cs="Tahoma" w:hint="default"/>
      <w:b w:val="0"/>
      <w:b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bln121">
    <w:name w:val="tbln121"/>
    <w:rPr>
      <w:rFonts w:ascii="Arial" w:hAnsi="Arial" w:cs="Arial" w:hint="default"/>
      <w:b w:val="0"/>
      <w:bCs w:val="0"/>
      <w:i/>
      <w:i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rb121">
    <w:name w:val="trb121"/>
    <w:rPr>
      <w:rFonts w:ascii="Arial" w:hAnsi="Arial" w:cs="Arial" w:hint="default"/>
      <w:b/>
      <w:bCs/>
      <w:strike w:val="0"/>
      <w:dstrike w:val="0"/>
      <w:color w:val="663333"/>
      <w:sz w:val="24"/>
      <w:szCs w:val="24"/>
      <w:u w:val="none"/>
      <w:effect w:val="none"/>
    </w:rPr>
  </w:style>
  <w:style w:type="character" w:customStyle="1" w:styleId="tbb121">
    <w:name w:val="tbb121"/>
    <w:rPr>
      <w:rFonts w:ascii="Arial" w:hAnsi="Arial" w:cs="Arial" w:hint="default"/>
      <w:b/>
      <w:bCs/>
      <w:strike w:val="0"/>
      <w:dstrike w:val="0"/>
      <w:color w:val="000000"/>
      <w:sz w:val="24"/>
      <w:szCs w:val="24"/>
      <w:u w:val="none"/>
      <w:effect w:val="none"/>
    </w:rPr>
  </w:style>
  <w:style w:type="paragraph" w:styleId="af2">
    <w:name w:val="Document Map"/>
    <w:basedOn w:val="a"/>
    <w:semiHidden/>
    <w:pPr>
      <w:shd w:val="clear" w:color="auto" w:fill="000080"/>
    </w:pPr>
    <w:rPr>
      <w:rFonts w:ascii="Tahoma" w:hAnsi="Tahoma" w:cs="Tahoma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character" w:styleId="af3">
    <w:name w:val="annotation reference"/>
    <w:uiPriority w:val="99"/>
    <w:rPr>
      <w:sz w:val="16"/>
      <w:szCs w:val="16"/>
    </w:rPr>
  </w:style>
  <w:style w:type="paragraph" w:styleId="af4">
    <w:name w:val="annotation text"/>
    <w:basedOn w:val="a"/>
    <w:link w:val="af5"/>
    <w:uiPriority w:val="99"/>
  </w:style>
  <w:style w:type="paragraph" w:styleId="af6">
    <w:name w:val="annotation subject"/>
    <w:basedOn w:val="af4"/>
    <w:next w:val="af4"/>
    <w:semiHidden/>
    <w:rPr>
      <w:b/>
      <w:bCs/>
    </w:rPr>
  </w:style>
  <w:style w:type="character" w:customStyle="1" w:styleId="22">
    <w:name w:val="Основной текст 2 Знак"/>
    <w:link w:val="21"/>
    <w:rPr>
      <w:sz w:val="28"/>
    </w:rPr>
  </w:style>
  <w:style w:type="paragraph" w:customStyle="1" w:styleId="Heading">
    <w:name w:val="Heading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  <w:lang w:val="ru-RU" w:eastAsia="ru-RU"/>
    </w:rPr>
  </w:style>
  <w:style w:type="character" w:customStyle="1" w:styleId="a6">
    <w:name w:val="Основной текст Знак"/>
    <w:link w:val="a5"/>
    <w:rPr>
      <w:sz w:val="24"/>
    </w:rPr>
  </w:style>
  <w:style w:type="paragraph" w:styleId="af7">
    <w:name w:val="List Paragraph"/>
    <w:basedOn w:val="a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Plain Text"/>
    <w:basedOn w:val="a"/>
    <w:link w:val="af9"/>
    <w:uiPriority w:val="99"/>
    <w:unhideWhenUsed/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9">
    <w:name w:val="Текст Знак"/>
    <w:link w:val="af8"/>
    <w:uiPriority w:val="99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</w:style>
  <w:style w:type="character" w:customStyle="1" w:styleId="32">
    <w:name w:val="Основной текст с отступом 3 Знак"/>
    <w:basedOn w:val="a0"/>
    <w:link w:val="31"/>
  </w:style>
  <w:style w:type="character" w:customStyle="1" w:styleId="20">
    <w:name w:val="Заголовок 2 Знак"/>
    <w:link w:val="2"/>
    <w:rPr>
      <w:b/>
    </w:rPr>
  </w:style>
  <w:style w:type="character" w:customStyle="1" w:styleId="a4">
    <w:name w:val="Верхний колонтитул Знак"/>
    <w:basedOn w:val="a0"/>
    <w:link w:val="a3"/>
    <w:uiPriority w:val="99"/>
  </w:style>
  <w:style w:type="character" w:customStyle="1" w:styleId="aa">
    <w:name w:val="Нижний колонтитул Знак"/>
    <w:basedOn w:val="a0"/>
    <w:link w:val="a9"/>
    <w:uiPriority w:val="99"/>
  </w:style>
  <w:style w:type="character" w:styleId="afa">
    <w:name w:val="footnote reference"/>
    <w:uiPriority w:val="99"/>
    <w:unhideWhenUsed/>
    <w:rPr>
      <w:vertAlign w:val="superscript"/>
    </w:rPr>
  </w:style>
  <w:style w:type="table" w:customStyle="1" w:styleId="-11">
    <w:name w:val="Светлый список - Акцент 11"/>
    <w:basedOn w:val="a1"/>
    <w:uiPriority w:val="61"/>
    <w:rPr>
      <w:rFonts w:ascii="Calibri" w:eastAsia="Calibri" w:hAnsi="Calibri"/>
      <w:sz w:val="22"/>
      <w:szCs w:val="22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eastAsia="Calibri" w:hAnsi="Courier New" w:cs="Courier New"/>
      <w:lang w:val="ru-RU"/>
    </w:rPr>
  </w:style>
  <w:style w:type="paragraph" w:styleId="afb">
    <w:name w:val="footnote text"/>
    <w:basedOn w:val="a"/>
    <w:link w:val="afc"/>
    <w:uiPriority w:val="99"/>
    <w:unhideWhenUsed/>
    <w:rPr>
      <w:rFonts w:ascii="Calibri" w:eastAsia="Calibri" w:hAnsi="Calibri"/>
      <w:lang w:eastAsia="en-US"/>
    </w:rPr>
  </w:style>
  <w:style w:type="character" w:customStyle="1" w:styleId="afc">
    <w:name w:val="Текст сноски Знак"/>
    <w:link w:val="afb"/>
    <w:uiPriority w:val="99"/>
    <w:rPr>
      <w:rFonts w:ascii="Calibri" w:eastAsia="Calibri" w:hAnsi="Calibri"/>
      <w:lang w:eastAsia="en-US"/>
    </w:rPr>
  </w:style>
  <w:style w:type="paragraph" w:customStyle="1" w:styleId="afd">
    <w:name w:val="Нормальный (таблица)"/>
    <w:basedOn w:val="a"/>
    <w:next w:val="a"/>
    <w:uiPriority w:val="99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styleId="afe">
    <w:name w:val="No Spacing"/>
    <w:uiPriority w:val="1"/>
    <w:qFormat/>
    <w:rPr>
      <w:rFonts w:ascii="Calibri" w:eastAsia="Calibri" w:hAnsi="Calibri"/>
      <w:sz w:val="22"/>
      <w:szCs w:val="22"/>
      <w:lang w:val="ru-RU"/>
    </w:rPr>
  </w:style>
  <w:style w:type="character" w:styleId="aff">
    <w:name w:val="Placeholder Text"/>
    <w:uiPriority w:val="99"/>
    <w:semiHidden/>
    <w:rPr>
      <w:rFonts w:cs="Times New Roman"/>
      <w:color w:val="808080"/>
    </w:rPr>
  </w:style>
  <w:style w:type="character" w:customStyle="1" w:styleId="24">
    <w:name w:val="Основной текст с отступом 2 Знак"/>
    <w:link w:val="23"/>
  </w:style>
  <w:style w:type="paragraph" w:styleId="aff0">
    <w:name w:val="TOC Heading"/>
    <w:basedOn w:val="1"/>
    <w:next w:val="a"/>
    <w:uiPriority w:val="39"/>
    <w:unhideWhenUsed/>
    <w:qFormat/>
    <w:pPr>
      <w:keepLines/>
      <w:tabs>
        <w:tab w:val="clear" w:pos="0"/>
      </w:tabs>
      <w:spacing w:before="240" w:line="259" w:lineRule="auto"/>
      <w:ind w:firstLine="0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3">
    <w:name w:val="toc 3"/>
    <w:basedOn w:val="a"/>
    <w:next w:val="a"/>
    <w:autoRedefine/>
    <w:uiPriority w:val="39"/>
    <w:unhideWhenUsed/>
    <w:pPr>
      <w:spacing w:after="100" w:line="259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40">
    <w:name w:val="toc 4"/>
    <w:basedOn w:val="a"/>
    <w:next w:val="a"/>
    <w:autoRedefine/>
    <w:uiPriority w:val="39"/>
    <w:unhideWhenUsed/>
    <w:pPr>
      <w:spacing w:after="100" w:line="259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51">
    <w:name w:val="toc 5"/>
    <w:basedOn w:val="a"/>
    <w:next w:val="a"/>
    <w:autoRedefine/>
    <w:uiPriority w:val="39"/>
    <w:unhideWhenUsed/>
    <w:pPr>
      <w:spacing w:after="100" w:line="259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60">
    <w:name w:val="toc 6"/>
    <w:basedOn w:val="a"/>
    <w:next w:val="a"/>
    <w:autoRedefine/>
    <w:uiPriority w:val="39"/>
    <w:unhideWhenUsed/>
    <w:pPr>
      <w:spacing w:after="100" w:line="259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70">
    <w:name w:val="toc 7"/>
    <w:basedOn w:val="a"/>
    <w:next w:val="a"/>
    <w:autoRedefine/>
    <w:uiPriority w:val="39"/>
    <w:unhideWhenUsed/>
    <w:pPr>
      <w:spacing w:after="100" w:line="259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80">
    <w:name w:val="toc 8"/>
    <w:basedOn w:val="a"/>
    <w:next w:val="a"/>
    <w:autoRedefine/>
    <w:uiPriority w:val="39"/>
    <w:unhideWhenUsed/>
    <w:pPr>
      <w:spacing w:after="100" w:line="259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90">
    <w:name w:val="toc 9"/>
    <w:basedOn w:val="a"/>
    <w:next w:val="a"/>
    <w:autoRedefine/>
    <w:uiPriority w:val="39"/>
    <w:unhideWhenUsed/>
    <w:pPr>
      <w:spacing w:after="100" w:line="259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aff1">
    <w:name w:val="Revision"/>
    <w:hidden/>
    <w:uiPriority w:val="99"/>
    <w:semiHidden/>
    <w:rPr>
      <w:lang w:val="ru-RU" w:eastAsia="ru-RU"/>
    </w:rPr>
  </w:style>
  <w:style w:type="paragraph" w:customStyle="1" w:styleId="headertext">
    <w:name w:val="header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pPr>
      <w:spacing w:before="100" w:beforeAutospacing="1" w:after="100" w:afterAutospacing="1"/>
    </w:pPr>
    <w:rPr>
      <w:sz w:val="24"/>
      <w:szCs w:val="24"/>
    </w:rPr>
  </w:style>
  <w:style w:type="paragraph" w:customStyle="1" w:styleId="aff2">
    <w:name w:val="Стиль первый"/>
    <w:basedOn w:val="a"/>
    <w:qFormat/>
    <w:pPr>
      <w:tabs>
        <w:tab w:val="left" w:pos="3285"/>
        <w:tab w:val="left" w:pos="6571"/>
        <w:tab w:val="left" w:pos="9857"/>
      </w:tabs>
      <w:ind w:right="-1"/>
      <w:contextualSpacing/>
      <w:outlineLvl w:val="0"/>
    </w:pPr>
    <w:rPr>
      <w:b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8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0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111A5B5095EE125EE200E513B9061071F5540C5EC9F281248AB5EA8A5A20B361012ADB18yCw4N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E111A5B5095EE125EE200E513B9061071F5540C5EC9F281248AB5EA8A5A20B361012ADB18yCw4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ACB94-42D0-4D73-8B14-DCD77204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1537</Words>
  <Characters>11939</Characters>
  <Application>Microsoft Office Word</Application>
  <DocSecurity>0</DocSecurity>
  <Lines>99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«Оренбургэнерго»</vt:lpstr>
    </vt:vector>
  </TitlesOfParts>
  <Company>Информэнергосвязь</Company>
  <LinksUpToDate>false</LinksUpToDate>
  <CharactersWithSpaces>13450</CharactersWithSpaces>
  <SharedDoc>false</SharedDoc>
  <HLinks>
    <vt:vector size="306" baseType="variant">
      <vt:variant>
        <vt:i4>5242933</vt:i4>
      </vt:variant>
      <vt:variant>
        <vt:i4>150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147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135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123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111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99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87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75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4391000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4391000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consultantplus://offline/ref=0E111A5B5095EE125EE200E513B9061071F5540C5EC9F281248AB5EA8A5A20B361012ADB18yCw4N</vt:lpwstr>
      </vt:variant>
      <vt:variant>
        <vt:lpwstr/>
      </vt:variant>
      <vt:variant>
        <vt:i4>5242933</vt:i4>
      </vt:variant>
      <vt:variant>
        <vt:i4>63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7077991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consultantplus://offline/ref=6C893CEED4BD5151001E6F66E2F227DD92B6F6047CA4DF7B43E321664C0DD935B6875D09C1429CC8Y0m1J</vt:lpwstr>
      </vt:variant>
      <vt:variant>
        <vt:lpwstr/>
      </vt:variant>
      <vt:variant>
        <vt:i4>5242933</vt:i4>
      </vt:variant>
      <vt:variant>
        <vt:i4>57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51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48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1703940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consultantplus://offline/ref=2DC3E262118F82F2790178C320FEF314B3DE2040F5D67989067FE657ABDA0242003A6B5DF9B9D8yDR8K</vt:lpwstr>
      </vt:variant>
      <vt:variant>
        <vt:lpwstr/>
      </vt:variant>
      <vt:variant>
        <vt:i4>5242933</vt:i4>
      </vt:variant>
      <vt:variant>
        <vt:i4>42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36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30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27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24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21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18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5242933</vt:i4>
      </vt:variant>
      <vt:variant>
        <vt:i4>15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9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  <vt:variant>
        <vt:i4>5242933</vt:i4>
      </vt:variant>
      <vt:variant>
        <vt:i4>3</vt:i4>
      </vt:variant>
      <vt:variant>
        <vt:i4>0</vt:i4>
      </vt:variant>
      <vt:variant>
        <vt:i4>5</vt:i4>
      </vt:variant>
      <vt:variant>
        <vt:lpwstr>mailto:office@mrsk-volgi.ru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consultantplus://offline/ref=E7FC63CC084860760E0444B9D8103630A6FB281685CBC9E91E2903D7F926E1E18B4AF6EE1E08E63601h2N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«Оренбургэнерго»</dc:title>
  <dc:creator>Олег Воронков</dc:creator>
  <cp:lastModifiedBy>Кофтайлов Алексей Валентинович</cp:lastModifiedBy>
  <cp:revision>12</cp:revision>
  <cp:lastPrinted>2019-05-31T03:35:00Z</cp:lastPrinted>
  <dcterms:created xsi:type="dcterms:W3CDTF">2019-06-03T07:05:00Z</dcterms:created>
  <dcterms:modified xsi:type="dcterms:W3CDTF">2025-02-10T11:04:00Z</dcterms:modified>
</cp:coreProperties>
</file>